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0D" w:rsidRPr="002362F8" w:rsidRDefault="008B18FE" w:rsidP="002362F8">
      <w:pPr>
        <w:spacing w:line="400" w:lineRule="exact"/>
        <w:jc w:val="center"/>
        <w:rPr>
          <w:rFonts w:ascii="Times New Roman" w:eastAsia="標楷體" w:hAnsi="標楷體" w:cs="Times New Roman"/>
          <w:b/>
          <w:sz w:val="40"/>
          <w:szCs w:val="40"/>
        </w:rPr>
      </w:pPr>
      <w:r w:rsidRPr="00A9086A">
        <w:rPr>
          <w:rFonts w:ascii="Times New Roman" w:eastAsia="標楷體" w:hAnsi="標楷體" w:cs="Times New Roman"/>
          <w:b/>
          <w:sz w:val="40"/>
          <w:szCs w:val="40"/>
        </w:rPr>
        <w:t>衡量「非控制權益之所有其他組成部分」</w:t>
      </w:r>
      <w:r w:rsidR="00A9086A" w:rsidRPr="00A9086A">
        <w:rPr>
          <w:rFonts w:ascii="Times New Roman" w:eastAsia="標楷體" w:hAnsi="標楷體" w:cs="Times New Roman"/>
          <w:b/>
          <w:sz w:val="40"/>
          <w:szCs w:val="40"/>
        </w:rPr>
        <w:t>之</w:t>
      </w:r>
      <w:r w:rsidR="00A9086A">
        <w:rPr>
          <w:rFonts w:ascii="Times New Roman" w:eastAsia="標楷體" w:hAnsi="標楷體" w:cs="Times New Roman" w:hint="eastAsia"/>
          <w:b/>
          <w:sz w:val="40"/>
          <w:szCs w:val="40"/>
        </w:rPr>
        <w:t xml:space="preserve">      </w:t>
      </w:r>
      <w:r w:rsidRPr="00A9086A">
        <w:rPr>
          <w:rFonts w:ascii="Times New Roman" w:eastAsia="標楷體" w:hAnsi="標楷體" w:cs="Times New Roman"/>
          <w:b/>
          <w:sz w:val="40"/>
          <w:szCs w:val="40"/>
        </w:rPr>
        <w:t>公允價值之指引</w:t>
      </w:r>
    </w:p>
    <w:p w:rsidR="00690213" w:rsidRPr="0025664C" w:rsidRDefault="00853DC3" w:rsidP="008B18FE">
      <w:pPr>
        <w:pStyle w:val="a7"/>
        <w:numPr>
          <w:ilvl w:val="0"/>
          <w:numId w:val="1"/>
        </w:numPr>
        <w:ind w:leftChars="0" w:left="709" w:hanging="709"/>
        <w:rPr>
          <w:rFonts w:ascii="Times New Roman" w:eastAsia="標楷體" w:hAnsi="Times New Roman" w:cs="Times New Roman"/>
          <w:b/>
          <w:sz w:val="32"/>
          <w:szCs w:val="32"/>
        </w:rPr>
      </w:pPr>
      <w:r w:rsidRPr="0025664C">
        <w:rPr>
          <w:rFonts w:ascii="Times New Roman" w:eastAsia="標楷體" w:hAnsi="標楷體" w:cs="Times New Roman"/>
          <w:b/>
          <w:sz w:val="32"/>
          <w:szCs w:val="32"/>
        </w:rPr>
        <w:t>前言</w:t>
      </w:r>
    </w:p>
    <w:p w:rsidR="00A51154" w:rsidRPr="00A51154" w:rsidRDefault="009C7A58" w:rsidP="00A51154">
      <w:pPr>
        <w:pStyle w:val="a7"/>
        <w:numPr>
          <w:ilvl w:val="0"/>
          <w:numId w:val="9"/>
        </w:numPr>
        <w:spacing w:before="100" w:beforeAutospacing="1" w:after="100" w:afterAutospacing="1" w:line="400" w:lineRule="exact"/>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2010</w:t>
      </w:r>
      <w:r>
        <w:rPr>
          <w:rFonts w:ascii="Times New Roman" w:eastAsia="標楷體" w:hAnsi="Times New Roman" w:cs="Times New Roman" w:hint="eastAsia"/>
          <w:sz w:val="32"/>
          <w:szCs w:val="32"/>
        </w:rPr>
        <w:t>年版</w:t>
      </w:r>
      <w:r w:rsidR="001F5E0E">
        <w:rPr>
          <w:rFonts w:ascii="Times New Roman" w:eastAsia="標楷體" w:hAnsi="Times New Roman" w:cs="Times New Roman" w:hint="eastAsia"/>
          <w:sz w:val="32"/>
          <w:szCs w:val="32"/>
        </w:rPr>
        <w:t>國際財務報導準則第</w:t>
      </w:r>
      <w:r w:rsidR="001F5E0E">
        <w:rPr>
          <w:rFonts w:ascii="Times New Roman" w:eastAsia="標楷體" w:hAnsi="Times New Roman" w:cs="Times New Roman" w:hint="eastAsia"/>
          <w:sz w:val="32"/>
          <w:szCs w:val="32"/>
        </w:rPr>
        <w:t>3</w:t>
      </w:r>
      <w:r w:rsidR="001F5E0E">
        <w:rPr>
          <w:rFonts w:ascii="Times New Roman" w:eastAsia="標楷體" w:hAnsi="Times New Roman" w:cs="Times New Roman" w:hint="eastAsia"/>
          <w:sz w:val="32"/>
          <w:szCs w:val="32"/>
        </w:rPr>
        <w:t>號「</w:t>
      </w:r>
      <w:bookmarkStart w:id="0" w:name="_GoBack"/>
      <w:bookmarkEnd w:id="0"/>
      <w:r w:rsidR="001F5E0E">
        <w:rPr>
          <w:rFonts w:ascii="Times New Roman" w:eastAsia="標楷體" w:hAnsi="Times New Roman" w:cs="Times New Roman" w:hint="eastAsia"/>
          <w:sz w:val="32"/>
          <w:szCs w:val="32"/>
        </w:rPr>
        <w:t>企業合併」</w:t>
      </w:r>
      <w:r w:rsidR="002747F6">
        <w:rPr>
          <w:rFonts w:ascii="Times New Roman" w:eastAsia="標楷體" w:hAnsi="Times New Roman" w:cs="Times New Roman" w:hint="eastAsia"/>
          <w:sz w:val="32"/>
          <w:szCs w:val="32"/>
        </w:rPr>
        <w:t>（以下</w:t>
      </w:r>
      <w:r>
        <w:rPr>
          <w:rFonts w:ascii="Times New Roman" w:eastAsia="標楷體" w:hAnsi="Times New Roman" w:cs="Times New Roman" w:hint="eastAsia"/>
          <w:sz w:val="32"/>
          <w:szCs w:val="32"/>
        </w:rPr>
        <w:t>稱</w:t>
      </w:r>
      <w:r>
        <w:rPr>
          <w:rFonts w:ascii="Times New Roman" w:eastAsia="標楷體" w:hAnsi="Times New Roman" w:cs="Times New Roman" w:hint="eastAsia"/>
          <w:sz w:val="32"/>
          <w:szCs w:val="32"/>
        </w:rPr>
        <w:t>IFRS 3</w:t>
      </w:r>
      <w:r>
        <w:rPr>
          <w:rFonts w:ascii="Times New Roman" w:eastAsia="標楷體" w:hAnsi="Times New Roman" w:cs="Times New Roman" w:hint="eastAsia"/>
          <w:sz w:val="32"/>
          <w:szCs w:val="32"/>
        </w:rPr>
        <w:t>）</w:t>
      </w:r>
      <w:r w:rsidR="00A51154" w:rsidRPr="00A51154">
        <w:rPr>
          <w:rFonts w:ascii="Times New Roman" w:eastAsia="標楷體" w:hAnsi="Times New Roman" w:cs="Times New Roman"/>
          <w:sz w:val="32"/>
          <w:szCs w:val="32"/>
        </w:rPr>
        <w:t>第</w:t>
      </w:r>
      <w:r w:rsidR="00A51154" w:rsidRPr="00A51154">
        <w:rPr>
          <w:rFonts w:ascii="Times New Roman" w:eastAsia="標楷體" w:hAnsi="Times New Roman" w:cs="Times New Roman"/>
          <w:sz w:val="32"/>
          <w:szCs w:val="32"/>
        </w:rPr>
        <w:t>19</w:t>
      </w:r>
      <w:r w:rsidR="00A51154" w:rsidRPr="00A51154">
        <w:rPr>
          <w:rFonts w:ascii="Times New Roman" w:eastAsia="標楷體" w:hAnsi="Times New Roman" w:cs="Times New Roman"/>
          <w:sz w:val="32"/>
          <w:szCs w:val="32"/>
        </w:rPr>
        <w:t>段規定</w:t>
      </w:r>
      <w:r w:rsidR="001F5E0E">
        <w:rPr>
          <w:rFonts w:ascii="Times New Roman" w:eastAsia="標楷體" w:hAnsi="Times New Roman" w:cs="Times New Roman" w:hint="eastAsia"/>
          <w:sz w:val="32"/>
          <w:szCs w:val="32"/>
        </w:rPr>
        <w:t>，</w:t>
      </w:r>
      <w:r w:rsidR="00A51154" w:rsidRPr="00A51154">
        <w:rPr>
          <w:rFonts w:ascii="Times New Roman" w:eastAsia="標楷體" w:hAnsi="Times New Roman" w:cs="Times New Roman"/>
          <w:sz w:val="32"/>
          <w:szCs w:val="32"/>
        </w:rPr>
        <w:t>對每一企業合併，收購者</w:t>
      </w:r>
      <w:r w:rsidR="001F5E0E">
        <w:rPr>
          <w:rFonts w:ascii="Times New Roman" w:eastAsia="標楷體" w:hAnsi="Times New Roman" w:cs="Times New Roman" w:hint="eastAsia"/>
          <w:sz w:val="32"/>
          <w:szCs w:val="32"/>
        </w:rPr>
        <w:t>對被收購者</w:t>
      </w:r>
      <w:r w:rsidR="00A51154" w:rsidRPr="00A51154">
        <w:rPr>
          <w:rFonts w:ascii="Times New Roman" w:eastAsia="標楷體" w:hAnsi="Times New Roman" w:cs="Times New Roman"/>
          <w:sz w:val="32"/>
          <w:szCs w:val="32"/>
        </w:rPr>
        <w:t>之非控制權益</w:t>
      </w:r>
      <w:r w:rsidR="009A5FB8">
        <w:rPr>
          <w:rFonts w:ascii="Times New Roman" w:eastAsia="標楷體" w:hAnsi="Times New Roman" w:cs="Times New Roman" w:hint="eastAsia"/>
          <w:sz w:val="32"/>
          <w:szCs w:val="32"/>
        </w:rPr>
        <w:t>應</w:t>
      </w:r>
      <w:r w:rsidR="001F5E0E">
        <w:rPr>
          <w:rFonts w:ascii="Times New Roman" w:eastAsia="標楷體" w:hAnsi="Times New Roman" w:cs="Times New Roman" w:hint="eastAsia"/>
          <w:sz w:val="32"/>
          <w:szCs w:val="32"/>
        </w:rPr>
        <w:t>以</w:t>
      </w:r>
      <w:r w:rsidR="001F5E0E" w:rsidRPr="00DC38C7">
        <w:rPr>
          <w:rFonts w:ascii="Times New Roman" w:eastAsia="標楷體" w:hAnsi="Times New Roman" w:cs="Times New Roman"/>
          <w:sz w:val="32"/>
          <w:szCs w:val="32"/>
        </w:rPr>
        <w:t>公允價值</w:t>
      </w:r>
      <w:r w:rsidR="001F5E0E">
        <w:rPr>
          <w:rFonts w:ascii="Times New Roman" w:eastAsia="標楷體" w:hAnsi="Times New Roman" w:cs="Times New Roman" w:hint="eastAsia"/>
          <w:sz w:val="32"/>
          <w:szCs w:val="32"/>
        </w:rPr>
        <w:t>或以被</w:t>
      </w:r>
      <w:r w:rsidR="001F5E0E" w:rsidRPr="00DC38C7">
        <w:rPr>
          <w:rFonts w:ascii="Times New Roman" w:eastAsia="標楷體" w:hAnsi="Times New Roman" w:cs="Times New Roman"/>
          <w:sz w:val="32"/>
          <w:szCs w:val="32"/>
        </w:rPr>
        <w:t>收購者可辨認淨資產</w:t>
      </w:r>
      <w:r w:rsidR="001F5E0E">
        <w:rPr>
          <w:rFonts w:ascii="Times New Roman" w:eastAsia="標楷體" w:hAnsi="Times New Roman" w:cs="Times New Roman" w:hint="eastAsia"/>
          <w:sz w:val="32"/>
          <w:szCs w:val="32"/>
        </w:rPr>
        <w:t>按非控制權益</w:t>
      </w:r>
      <w:r w:rsidR="001F5E0E" w:rsidRPr="00DC38C7">
        <w:rPr>
          <w:rFonts w:ascii="Times New Roman" w:eastAsia="標楷體" w:hAnsi="Times New Roman" w:cs="Times New Roman"/>
          <w:sz w:val="32"/>
          <w:szCs w:val="32"/>
        </w:rPr>
        <w:t>之比例</w:t>
      </w:r>
      <w:r w:rsidR="001F5E0E">
        <w:rPr>
          <w:rFonts w:ascii="Times New Roman" w:eastAsia="標楷體" w:hAnsi="Times New Roman" w:cs="Times New Roman" w:hint="eastAsia"/>
          <w:sz w:val="32"/>
          <w:szCs w:val="32"/>
        </w:rPr>
        <w:t>衡量之</w:t>
      </w:r>
      <w:r w:rsidR="001F5E0E" w:rsidRPr="00DC38C7">
        <w:rPr>
          <w:rFonts w:ascii="Times New Roman" w:eastAsia="標楷體" w:hAnsi="Times New Roman" w:cs="Times New Roman"/>
          <w:sz w:val="32"/>
          <w:szCs w:val="32"/>
        </w:rPr>
        <w:t>。</w:t>
      </w:r>
    </w:p>
    <w:p w:rsidR="002B1404" w:rsidRPr="00DC38C7" w:rsidRDefault="007159C9" w:rsidP="00A51154">
      <w:pPr>
        <w:pStyle w:val="a7"/>
        <w:numPr>
          <w:ilvl w:val="0"/>
          <w:numId w:val="9"/>
        </w:numPr>
        <w:spacing w:before="100" w:beforeAutospacing="1" w:after="100" w:afterAutospacing="1" w:line="400" w:lineRule="exact"/>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2013</w:t>
      </w:r>
      <w:r>
        <w:rPr>
          <w:rFonts w:ascii="Times New Roman" w:eastAsia="標楷體" w:hAnsi="Times New Roman" w:cs="Times New Roman" w:hint="eastAsia"/>
          <w:sz w:val="32"/>
          <w:szCs w:val="32"/>
        </w:rPr>
        <w:t>年版</w:t>
      </w:r>
      <w:r w:rsidR="009C7A58">
        <w:rPr>
          <w:rFonts w:ascii="Times New Roman" w:eastAsia="標楷體" w:hAnsi="Times New Roman" w:cs="Times New Roman" w:hint="eastAsia"/>
          <w:sz w:val="32"/>
          <w:szCs w:val="32"/>
        </w:rPr>
        <w:t>IFRS 3</w:t>
      </w:r>
      <w:r w:rsidR="002B1404" w:rsidRPr="00DC38C7">
        <w:rPr>
          <w:rFonts w:ascii="Times New Roman" w:eastAsia="標楷體" w:hAnsi="Times New Roman" w:cs="Times New Roman"/>
          <w:sz w:val="32"/>
          <w:szCs w:val="32"/>
        </w:rPr>
        <w:t>第</w:t>
      </w:r>
      <w:r w:rsidR="002B1404" w:rsidRPr="00DC38C7">
        <w:rPr>
          <w:rFonts w:ascii="Times New Roman" w:eastAsia="標楷體" w:hAnsi="Times New Roman" w:cs="Times New Roman"/>
          <w:sz w:val="32"/>
          <w:szCs w:val="32"/>
        </w:rPr>
        <w:t>19</w:t>
      </w:r>
      <w:r w:rsidR="002B1404" w:rsidRPr="00DC38C7">
        <w:rPr>
          <w:rFonts w:ascii="Times New Roman" w:eastAsia="標楷體" w:hAnsi="Times New Roman" w:cs="Times New Roman"/>
          <w:sz w:val="32"/>
          <w:szCs w:val="32"/>
        </w:rPr>
        <w:t>段規定，對每一企業合併，被收購者之非控制權益組成部分中，屬現時所有權權益，且其持有者有權於清算發生時按比例份額享有企業淨資產者，收購者應於收購日以下列方式之</w:t>
      </w:r>
      <w:proofErr w:type="gramStart"/>
      <w:r w:rsidR="002B1404" w:rsidRPr="00DC38C7">
        <w:rPr>
          <w:rFonts w:ascii="Times New Roman" w:eastAsia="標楷體" w:hAnsi="Times New Roman" w:cs="Times New Roman"/>
          <w:sz w:val="32"/>
          <w:szCs w:val="32"/>
        </w:rPr>
        <w:t>一</w:t>
      </w:r>
      <w:proofErr w:type="gramEnd"/>
      <w:r w:rsidR="002B1404" w:rsidRPr="00DC38C7">
        <w:rPr>
          <w:rFonts w:ascii="Times New Roman" w:eastAsia="標楷體" w:hAnsi="Times New Roman" w:cs="Times New Roman"/>
          <w:sz w:val="32"/>
          <w:szCs w:val="32"/>
        </w:rPr>
        <w:t>衡量</w:t>
      </w:r>
    </w:p>
    <w:p w:rsidR="002B1404" w:rsidRPr="00DC38C7" w:rsidRDefault="002B1404" w:rsidP="00A51154">
      <w:pPr>
        <w:pStyle w:val="a7"/>
        <w:numPr>
          <w:ilvl w:val="0"/>
          <w:numId w:val="4"/>
        </w:numPr>
        <w:spacing w:before="100" w:beforeAutospacing="1" w:after="100" w:afterAutospacing="1" w:line="400" w:lineRule="exact"/>
        <w:ind w:leftChars="473" w:left="1701" w:hangingChars="177" w:hanging="566"/>
        <w:rPr>
          <w:rFonts w:ascii="Times New Roman" w:eastAsia="標楷體" w:hAnsi="Times New Roman" w:cs="Times New Roman"/>
          <w:sz w:val="32"/>
          <w:szCs w:val="32"/>
        </w:rPr>
      </w:pPr>
      <w:r w:rsidRPr="00DC38C7">
        <w:rPr>
          <w:rFonts w:ascii="Times New Roman" w:eastAsia="標楷體" w:hAnsi="Times New Roman" w:cs="Times New Roman"/>
          <w:sz w:val="32"/>
          <w:szCs w:val="32"/>
        </w:rPr>
        <w:t>公允價值</w:t>
      </w:r>
    </w:p>
    <w:p w:rsidR="002B1404" w:rsidRDefault="002B1404" w:rsidP="00A51154">
      <w:pPr>
        <w:pStyle w:val="a7"/>
        <w:numPr>
          <w:ilvl w:val="0"/>
          <w:numId w:val="4"/>
        </w:numPr>
        <w:spacing w:before="100" w:beforeAutospacing="1" w:after="100" w:afterAutospacing="1" w:line="400" w:lineRule="exact"/>
        <w:ind w:leftChars="473" w:left="1701" w:hangingChars="177" w:hanging="566"/>
        <w:rPr>
          <w:rFonts w:ascii="Times New Roman" w:eastAsia="標楷體" w:hAnsi="Times New Roman" w:cs="Times New Roman"/>
          <w:sz w:val="32"/>
          <w:szCs w:val="32"/>
        </w:rPr>
      </w:pPr>
      <w:r w:rsidRPr="00DC38C7">
        <w:rPr>
          <w:rFonts w:ascii="Times New Roman" w:eastAsia="標楷體" w:hAnsi="Times New Roman" w:cs="Times New Roman"/>
          <w:sz w:val="32"/>
          <w:szCs w:val="32"/>
        </w:rPr>
        <w:t>現時所有權工具對被收購者可辨認淨資產之已認列金額所享有之比例份額。</w:t>
      </w:r>
    </w:p>
    <w:p w:rsidR="001F5E0E" w:rsidRDefault="001F5E0E" w:rsidP="001F5E0E">
      <w:pPr>
        <w:pStyle w:val="a7"/>
        <w:spacing w:before="100" w:beforeAutospacing="1" w:after="100" w:afterAutospacing="1" w:line="400" w:lineRule="exact"/>
        <w:ind w:leftChars="0" w:left="1068"/>
        <w:rPr>
          <w:rFonts w:ascii="Times New Roman" w:eastAsia="標楷體" w:hAnsi="Times New Roman" w:cs="Times New Roman"/>
          <w:sz w:val="32"/>
          <w:szCs w:val="32"/>
        </w:rPr>
      </w:pPr>
      <w:r w:rsidRPr="00DC38C7">
        <w:rPr>
          <w:rFonts w:ascii="Times New Roman" w:eastAsia="標楷體" w:hAnsi="Times New Roman" w:cs="Times New Roman"/>
          <w:sz w:val="32"/>
          <w:szCs w:val="32"/>
        </w:rPr>
        <w:t>非控制權益之所有其他組成部分應按其收購日公允價值衡量，除非國際財務報導準則規定另一衡量基礎。</w:t>
      </w:r>
    </w:p>
    <w:p w:rsidR="00A51154" w:rsidRDefault="001F5E0E" w:rsidP="00A51154">
      <w:pPr>
        <w:pStyle w:val="a7"/>
        <w:numPr>
          <w:ilvl w:val="0"/>
          <w:numId w:val="9"/>
        </w:numPr>
        <w:spacing w:before="100" w:beforeAutospacing="1" w:after="100" w:afterAutospacing="1" w:line="400" w:lineRule="exact"/>
        <w:ind w:leftChars="0"/>
        <w:rPr>
          <w:rFonts w:ascii="Times New Roman" w:eastAsia="標楷體" w:hAnsi="Times New Roman" w:cs="Times New Roman"/>
          <w:sz w:val="32"/>
          <w:szCs w:val="32"/>
        </w:rPr>
      </w:pPr>
      <w:r>
        <w:rPr>
          <w:rFonts w:ascii="Times New Roman" w:eastAsia="標楷體" w:hAnsi="Times New Roman" w:cs="Times New Roman" w:hint="eastAsia"/>
          <w:noProof/>
          <w:sz w:val="32"/>
          <w:szCs w:val="32"/>
        </w:rPr>
        <w:drawing>
          <wp:anchor distT="0" distB="0" distL="114300" distR="114300" simplePos="0" relativeHeight="251658240" behindDoc="0" locked="0" layoutInCell="1" allowOverlap="1">
            <wp:simplePos x="0" y="0"/>
            <wp:positionH relativeFrom="column">
              <wp:posOffset>629920</wp:posOffset>
            </wp:positionH>
            <wp:positionV relativeFrom="paragraph">
              <wp:posOffset>421640</wp:posOffset>
            </wp:positionV>
            <wp:extent cx="4733290" cy="3009265"/>
            <wp:effectExtent l="19050" t="0" r="0" b="0"/>
            <wp:wrapThrough wrapText="bothSides">
              <wp:wrapPolygon edited="0">
                <wp:start x="-87" y="0"/>
                <wp:lineTo x="-87" y="21468"/>
                <wp:lineTo x="21559" y="21468"/>
                <wp:lineTo x="21559" y="0"/>
                <wp:lineTo x="-87" y="0"/>
              </wp:wrapPolygon>
            </wp:wrapThrough>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33290" cy="3009265"/>
                    </a:xfrm>
                    <a:prstGeom prst="rect">
                      <a:avLst/>
                    </a:prstGeom>
                    <a:noFill/>
                    <a:ln w="9525">
                      <a:noFill/>
                      <a:miter lim="800000"/>
                      <a:headEnd/>
                      <a:tailEnd/>
                    </a:ln>
                  </pic:spPr>
                </pic:pic>
              </a:graphicData>
            </a:graphic>
          </wp:anchor>
        </w:drawing>
      </w:r>
      <w:r w:rsidR="00A51154">
        <w:rPr>
          <w:rFonts w:ascii="Times New Roman" w:eastAsia="標楷體" w:hAnsi="Times New Roman" w:cs="Times New Roman" w:hint="eastAsia"/>
          <w:sz w:val="32"/>
          <w:szCs w:val="32"/>
        </w:rPr>
        <w:t>以上準則修正前後差異圖示如下：</w:t>
      </w:r>
      <w:r w:rsidR="00A51154">
        <w:rPr>
          <w:rFonts w:ascii="Times New Roman" w:eastAsia="標楷體" w:hAnsi="Times New Roman" w:cs="Times New Roman" w:hint="eastAsia"/>
          <w:sz w:val="32"/>
          <w:szCs w:val="32"/>
        </w:rPr>
        <w:t xml:space="preserve"> </w:t>
      </w:r>
    </w:p>
    <w:p w:rsidR="00A51154" w:rsidRDefault="00A51154" w:rsidP="002B1404">
      <w:pPr>
        <w:spacing w:before="100" w:beforeAutospacing="1" w:after="100" w:afterAutospacing="1" w:line="400" w:lineRule="exact"/>
        <w:ind w:leftChars="295" w:left="708"/>
        <w:rPr>
          <w:rFonts w:ascii="Times New Roman" w:eastAsia="標楷體" w:hAnsi="Times New Roman" w:cs="Times New Roman"/>
          <w:sz w:val="32"/>
          <w:szCs w:val="32"/>
        </w:rPr>
      </w:pPr>
    </w:p>
    <w:p w:rsidR="00A51154" w:rsidRDefault="00A51154" w:rsidP="002B1404">
      <w:pPr>
        <w:spacing w:before="100" w:beforeAutospacing="1" w:after="100" w:afterAutospacing="1" w:line="400" w:lineRule="exact"/>
        <w:ind w:leftChars="295" w:left="708"/>
        <w:rPr>
          <w:rFonts w:ascii="Times New Roman" w:eastAsia="標楷體" w:hAnsi="Times New Roman" w:cs="Times New Roman"/>
          <w:sz w:val="32"/>
          <w:szCs w:val="32"/>
        </w:rPr>
      </w:pPr>
    </w:p>
    <w:p w:rsidR="002B1404" w:rsidRDefault="002B1404" w:rsidP="002B1404">
      <w:pPr>
        <w:spacing w:before="100" w:beforeAutospacing="1" w:after="100" w:afterAutospacing="1" w:line="400" w:lineRule="exact"/>
        <w:ind w:leftChars="295" w:left="708"/>
        <w:rPr>
          <w:rFonts w:ascii="Times New Roman" w:eastAsia="標楷體" w:hAnsi="Times New Roman" w:cs="Times New Roman"/>
          <w:sz w:val="32"/>
          <w:szCs w:val="32"/>
        </w:rPr>
      </w:pPr>
    </w:p>
    <w:p w:rsidR="00A51154" w:rsidRDefault="00A51154" w:rsidP="002B1404">
      <w:pPr>
        <w:spacing w:before="100" w:beforeAutospacing="1" w:after="100" w:afterAutospacing="1" w:line="400" w:lineRule="exact"/>
        <w:ind w:leftChars="295" w:left="708"/>
        <w:rPr>
          <w:rFonts w:ascii="Times New Roman" w:eastAsia="標楷體" w:hAnsi="Times New Roman" w:cs="Times New Roman"/>
          <w:sz w:val="32"/>
          <w:szCs w:val="32"/>
        </w:rPr>
      </w:pPr>
    </w:p>
    <w:p w:rsidR="002B1404" w:rsidRPr="00DC38C7" w:rsidRDefault="002B1404" w:rsidP="001F5E0E">
      <w:pPr>
        <w:pStyle w:val="a7"/>
        <w:numPr>
          <w:ilvl w:val="0"/>
          <w:numId w:val="9"/>
        </w:numPr>
        <w:spacing w:before="100" w:beforeAutospacing="1" w:after="100" w:afterAutospacing="1" w:line="400" w:lineRule="exact"/>
        <w:ind w:leftChars="0"/>
        <w:rPr>
          <w:rFonts w:ascii="Times New Roman" w:eastAsia="標楷體" w:hAnsi="Times New Roman" w:cs="Times New Roman"/>
          <w:sz w:val="32"/>
          <w:szCs w:val="32"/>
        </w:rPr>
      </w:pPr>
      <w:r w:rsidRPr="00DC38C7">
        <w:rPr>
          <w:rFonts w:ascii="Times New Roman" w:eastAsia="標楷體" w:hAnsi="Times New Roman" w:cs="Times New Roman"/>
          <w:sz w:val="32"/>
          <w:szCs w:val="32"/>
        </w:rPr>
        <w:lastRenderedPageBreak/>
        <w:t>以下提供非控制權益之所有其他組成部分公允價值衡量之相關指引。</w:t>
      </w:r>
    </w:p>
    <w:p w:rsidR="00690213" w:rsidRPr="0025664C" w:rsidRDefault="00853DC3" w:rsidP="002F10EF">
      <w:pPr>
        <w:pStyle w:val="a7"/>
        <w:numPr>
          <w:ilvl w:val="0"/>
          <w:numId w:val="1"/>
        </w:numPr>
        <w:ind w:leftChars="0" w:left="709" w:hanging="709"/>
        <w:rPr>
          <w:rFonts w:ascii="Times New Roman" w:eastAsia="標楷體" w:hAnsi="Times New Roman" w:cs="Times New Roman"/>
          <w:b/>
          <w:sz w:val="32"/>
          <w:szCs w:val="32"/>
        </w:rPr>
      </w:pPr>
      <w:r w:rsidRPr="0025664C">
        <w:rPr>
          <w:rFonts w:ascii="Times New Roman" w:eastAsia="標楷體" w:hAnsi="標楷體" w:cs="Times New Roman"/>
          <w:b/>
          <w:sz w:val="32"/>
          <w:szCs w:val="32"/>
        </w:rPr>
        <w:t>指引內容</w:t>
      </w:r>
    </w:p>
    <w:p w:rsidR="002F10EF" w:rsidRPr="00DC38C7" w:rsidRDefault="002F10EF" w:rsidP="002F10EF">
      <w:pPr>
        <w:pStyle w:val="a7"/>
        <w:numPr>
          <w:ilvl w:val="0"/>
          <w:numId w:val="6"/>
        </w:numPr>
        <w:spacing w:before="100" w:beforeAutospacing="1" w:after="100" w:afterAutospacing="1" w:line="400" w:lineRule="exact"/>
        <w:ind w:leftChars="0"/>
        <w:rPr>
          <w:rFonts w:ascii="Times New Roman" w:eastAsia="標楷體" w:hAnsi="Times New Roman" w:cs="Times New Roman"/>
          <w:sz w:val="32"/>
          <w:szCs w:val="32"/>
        </w:rPr>
      </w:pPr>
      <w:r w:rsidRPr="00DC38C7">
        <w:rPr>
          <w:rFonts w:ascii="Times New Roman" w:eastAsia="標楷體" w:hAnsi="Times New Roman" w:cs="Times New Roman"/>
          <w:sz w:val="32"/>
          <w:szCs w:val="32"/>
        </w:rPr>
        <w:t>非控制權益種類之區分</w:t>
      </w:r>
    </w:p>
    <w:p w:rsidR="002F10EF" w:rsidRPr="00DC38C7" w:rsidRDefault="002F10EF"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DC38C7">
        <w:rPr>
          <w:rFonts w:ascii="Times New Roman" w:eastAsia="標楷體" w:hAnsi="Times New Roman" w:cs="Times New Roman"/>
          <w:sz w:val="32"/>
          <w:szCs w:val="32"/>
        </w:rPr>
        <w:t>依照</w:t>
      </w:r>
      <w:r w:rsidRPr="00DC38C7">
        <w:rPr>
          <w:rFonts w:ascii="Times New Roman" w:eastAsia="標楷體" w:hAnsi="Times New Roman" w:cs="Times New Roman"/>
          <w:sz w:val="32"/>
          <w:szCs w:val="32"/>
        </w:rPr>
        <w:t>IFRS 3</w:t>
      </w:r>
      <w:r w:rsidRPr="00DC38C7">
        <w:rPr>
          <w:rFonts w:ascii="Times New Roman" w:eastAsia="標楷體" w:hAnsi="Times New Roman" w:cs="Times New Roman"/>
          <w:sz w:val="32"/>
          <w:szCs w:val="32"/>
        </w:rPr>
        <w:t>第</w:t>
      </w:r>
      <w:r w:rsidRPr="00DC38C7">
        <w:rPr>
          <w:rFonts w:ascii="Times New Roman" w:eastAsia="標楷體" w:hAnsi="Times New Roman" w:cs="Times New Roman"/>
          <w:sz w:val="32"/>
          <w:szCs w:val="32"/>
        </w:rPr>
        <w:t>19</w:t>
      </w:r>
      <w:r w:rsidRPr="00DC38C7">
        <w:rPr>
          <w:rFonts w:ascii="Times New Roman" w:eastAsia="標楷體" w:hAnsi="Times New Roman" w:cs="Times New Roman"/>
          <w:sz w:val="32"/>
          <w:szCs w:val="32"/>
        </w:rPr>
        <w:t>段，於企業合併時對非控制權益的衡量方法</w:t>
      </w:r>
      <w:proofErr w:type="gramStart"/>
      <w:r w:rsidRPr="00DC38C7">
        <w:rPr>
          <w:rFonts w:ascii="Times New Roman" w:eastAsia="標楷體" w:hAnsi="Times New Roman" w:cs="Times New Roman"/>
          <w:sz w:val="32"/>
          <w:szCs w:val="32"/>
        </w:rPr>
        <w:t>應視非控制</w:t>
      </w:r>
      <w:proofErr w:type="gramEnd"/>
      <w:r w:rsidRPr="00DC38C7">
        <w:rPr>
          <w:rFonts w:ascii="Times New Roman" w:eastAsia="標楷體" w:hAnsi="Times New Roman" w:cs="Times New Roman"/>
          <w:sz w:val="32"/>
          <w:szCs w:val="32"/>
        </w:rPr>
        <w:t>權益的種類決定。所謂屬</w:t>
      </w:r>
      <w:r w:rsidRPr="00A41277">
        <w:rPr>
          <w:rFonts w:ascii="Times New Roman" w:eastAsia="標楷體" w:hAnsi="Times New Roman" w:cs="Times New Roman"/>
          <w:sz w:val="32"/>
          <w:szCs w:val="32"/>
        </w:rPr>
        <w:t>現時所有權權益，且其持有者有權於清算發生時按比例份額（通常是持股比例）享有企業淨資產</w:t>
      </w:r>
      <w:r w:rsidRPr="00DC38C7">
        <w:rPr>
          <w:rFonts w:ascii="Times New Roman" w:eastAsia="標楷體" w:hAnsi="Times New Roman" w:cs="Times New Roman"/>
          <w:sz w:val="32"/>
          <w:szCs w:val="32"/>
        </w:rPr>
        <w:t>的非控制權益，通常包括收購方在未取得被收購方</w:t>
      </w:r>
      <w:r w:rsidRPr="00DC38C7">
        <w:rPr>
          <w:rFonts w:ascii="Times New Roman" w:eastAsia="標楷體" w:hAnsi="Times New Roman" w:cs="Times New Roman"/>
          <w:sz w:val="32"/>
          <w:szCs w:val="32"/>
        </w:rPr>
        <w:t>100%</w:t>
      </w:r>
      <w:r w:rsidRPr="00DC38C7">
        <w:rPr>
          <w:rFonts w:ascii="Times New Roman" w:eastAsia="標楷體" w:hAnsi="Times New Roman" w:cs="Times New Roman"/>
          <w:sz w:val="32"/>
          <w:szCs w:val="32"/>
        </w:rPr>
        <w:t>普通股情況下，持有被收購方其餘普通股之股東</w:t>
      </w:r>
      <w:r w:rsidR="0083717F">
        <w:rPr>
          <w:rFonts w:ascii="Times New Roman" w:eastAsia="標楷體" w:hAnsi="Times New Roman" w:cs="Times New Roman" w:hint="eastAsia"/>
          <w:sz w:val="32"/>
          <w:szCs w:val="32"/>
        </w:rPr>
        <w:t>；以及股利分配及清算權利與普通股類似之特別股股東</w:t>
      </w:r>
      <w:r w:rsidRPr="00DC38C7">
        <w:rPr>
          <w:rFonts w:ascii="Times New Roman" w:eastAsia="標楷體" w:hAnsi="Times New Roman" w:cs="Times New Roman"/>
          <w:sz w:val="32"/>
          <w:szCs w:val="32"/>
        </w:rPr>
        <w:t>。至於不符合前述定義的非控制權益種類之介紹，請詳第</w:t>
      </w:r>
      <w:r w:rsidRPr="00DC38C7">
        <w:rPr>
          <w:rFonts w:ascii="Times New Roman" w:eastAsia="標楷體" w:hAnsi="Times New Roman" w:cs="Times New Roman"/>
          <w:sz w:val="32"/>
          <w:szCs w:val="32"/>
        </w:rPr>
        <w:t>2</w:t>
      </w:r>
      <w:r w:rsidR="008F4EFD" w:rsidRPr="00DC38C7">
        <w:rPr>
          <w:rFonts w:ascii="Times New Roman" w:eastAsia="標楷體" w:hAnsi="Times New Roman" w:cs="Times New Roman"/>
          <w:sz w:val="32"/>
          <w:szCs w:val="32"/>
        </w:rPr>
        <w:t>點</w:t>
      </w:r>
      <w:r w:rsidRPr="00DC38C7">
        <w:rPr>
          <w:rFonts w:ascii="Times New Roman" w:eastAsia="標楷體" w:hAnsi="Times New Roman" w:cs="Times New Roman"/>
          <w:sz w:val="32"/>
          <w:szCs w:val="32"/>
        </w:rPr>
        <w:t>之說明。</w:t>
      </w:r>
    </w:p>
    <w:p w:rsidR="002F10EF" w:rsidRPr="00DC38C7" w:rsidRDefault="009C7A58" w:rsidP="009C7A58">
      <w:pPr>
        <w:pStyle w:val="a7"/>
        <w:spacing w:before="100" w:beforeAutospacing="1" w:after="100" w:afterAutospacing="1" w:line="400" w:lineRule="exact"/>
        <w:ind w:leftChars="0" w:left="1068"/>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釋例</w:t>
      </w:r>
      <w:proofErr w:type="gramEnd"/>
      <w:r>
        <w:rPr>
          <w:rFonts w:ascii="Times New Roman" w:eastAsia="標楷體" w:hAnsi="Times New Roman" w:cs="Times New Roman" w:hint="eastAsia"/>
          <w:sz w:val="32"/>
          <w:szCs w:val="32"/>
        </w:rPr>
        <w:t>1</w:t>
      </w:r>
      <w:r w:rsidR="002F10EF" w:rsidRPr="00DC38C7">
        <w:rPr>
          <w:rFonts w:ascii="Times New Roman" w:eastAsia="標楷體" w:hAnsi="Times New Roman" w:cs="Times New Roman"/>
          <w:sz w:val="32"/>
          <w:szCs w:val="32"/>
        </w:rPr>
        <w:t>：</w:t>
      </w:r>
    </w:p>
    <w:p w:rsidR="002F10EF" w:rsidRPr="00DC38C7" w:rsidRDefault="002F10EF"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DC38C7">
        <w:rPr>
          <w:rFonts w:ascii="Times New Roman" w:eastAsia="標楷體" w:hAnsi="Times New Roman" w:cs="Times New Roman"/>
          <w:sz w:val="32"/>
          <w:szCs w:val="32"/>
        </w:rPr>
        <w:t>假設甲公司以現金</w:t>
      </w:r>
      <w:r w:rsidRPr="00DC38C7">
        <w:rPr>
          <w:rFonts w:ascii="Times New Roman" w:eastAsia="標楷體" w:hAnsi="Times New Roman" w:cs="Times New Roman"/>
          <w:sz w:val="32"/>
          <w:szCs w:val="32"/>
        </w:rPr>
        <w:t>$1,000,000</w:t>
      </w:r>
      <w:r w:rsidRPr="00DC38C7">
        <w:rPr>
          <w:rFonts w:ascii="Times New Roman" w:eastAsia="標楷體" w:hAnsi="Times New Roman" w:cs="Times New Roman"/>
          <w:sz w:val="32"/>
          <w:szCs w:val="32"/>
        </w:rPr>
        <w:t>，取得乙公司</w:t>
      </w:r>
      <w:r w:rsidRPr="00DC38C7">
        <w:rPr>
          <w:rFonts w:ascii="Times New Roman" w:eastAsia="標楷體" w:hAnsi="Times New Roman" w:cs="Times New Roman"/>
          <w:sz w:val="32"/>
          <w:szCs w:val="32"/>
        </w:rPr>
        <w:t>80%</w:t>
      </w:r>
      <w:r w:rsidRPr="00DC38C7">
        <w:rPr>
          <w:rFonts w:ascii="Times New Roman" w:eastAsia="標楷體" w:hAnsi="Times New Roman" w:cs="Times New Roman"/>
          <w:sz w:val="32"/>
          <w:szCs w:val="32"/>
        </w:rPr>
        <w:t>普通股股份。乙公司除了普通股外，尚有流通在外之特別股</w:t>
      </w:r>
      <w:r w:rsidRPr="00DC38C7">
        <w:rPr>
          <w:rFonts w:ascii="Times New Roman" w:eastAsia="標楷體" w:hAnsi="Times New Roman" w:cs="Times New Roman"/>
          <w:sz w:val="32"/>
          <w:szCs w:val="32"/>
        </w:rPr>
        <w:t>200</w:t>
      </w:r>
      <w:r w:rsidRPr="00DC38C7">
        <w:rPr>
          <w:rFonts w:ascii="Times New Roman" w:eastAsia="標楷體" w:hAnsi="Times New Roman" w:cs="Times New Roman"/>
          <w:sz w:val="32"/>
          <w:szCs w:val="32"/>
        </w:rPr>
        <w:t>股係分類為權益（即不屬於負債性特別股），該特別股於清算時具有優先以每股</w:t>
      </w:r>
      <w:r w:rsidRPr="00DC38C7">
        <w:rPr>
          <w:rFonts w:ascii="Times New Roman" w:eastAsia="標楷體" w:hAnsi="Times New Roman" w:cs="Times New Roman"/>
          <w:sz w:val="32"/>
          <w:szCs w:val="32"/>
        </w:rPr>
        <w:t>$1</w:t>
      </w:r>
      <w:r w:rsidR="00B53BF3">
        <w:rPr>
          <w:rFonts w:ascii="Times New Roman" w:eastAsia="標楷體" w:hAnsi="Times New Roman" w:cs="Times New Roman" w:hint="eastAsia"/>
          <w:sz w:val="32"/>
          <w:szCs w:val="32"/>
        </w:rPr>
        <w:t>0</w:t>
      </w:r>
      <w:r w:rsidRPr="00DC38C7">
        <w:rPr>
          <w:rFonts w:ascii="Times New Roman" w:eastAsia="標楷體" w:hAnsi="Times New Roman" w:cs="Times New Roman"/>
          <w:sz w:val="32"/>
          <w:szCs w:val="32"/>
        </w:rPr>
        <w:t>元定額分配乙公司賸餘財產的權利，甲公司未取得任何特別股股權。</w:t>
      </w:r>
      <w:r w:rsidR="000C67AE">
        <w:rPr>
          <w:rFonts w:ascii="Times New Roman" w:eastAsia="標楷體" w:hAnsi="Times New Roman" w:cs="Times New Roman" w:hint="eastAsia"/>
          <w:sz w:val="32"/>
          <w:szCs w:val="32"/>
        </w:rPr>
        <w:t>分析：</w:t>
      </w:r>
      <w:r w:rsidRPr="00DC38C7">
        <w:rPr>
          <w:rFonts w:ascii="Times New Roman" w:eastAsia="標楷體" w:hAnsi="Times New Roman" w:cs="Times New Roman"/>
          <w:sz w:val="32"/>
          <w:szCs w:val="32"/>
        </w:rPr>
        <w:t>有關甲公司收購乙公司對</w:t>
      </w:r>
      <w:r w:rsidRPr="00DC38C7">
        <w:rPr>
          <w:rFonts w:ascii="Times New Roman" w:eastAsia="標楷體" w:hAnsi="Times New Roman" w:cs="Times New Roman"/>
          <w:sz w:val="32"/>
          <w:szCs w:val="32"/>
        </w:rPr>
        <w:t>20%</w:t>
      </w:r>
      <w:r w:rsidRPr="00DC38C7">
        <w:rPr>
          <w:rFonts w:ascii="Times New Roman" w:eastAsia="標楷體" w:hAnsi="Times New Roman" w:cs="Times New Roman"/>
          <w:sz w:val="32"/>
          <w:szCs w:val="32"/>
        </w:rPr>
        <w:t>普通股及</w:t>
      </w:r>
      <w:r w:rsidRPr="00DC38C7">
        <w:rPr>
          <w:rFonts w:ascii="Times New Roman" w:eastAsia="標楷體" w:hAnsi="Times New Roman" w:cs="Times New Roman"/>
          <w:sz w:val="32"/>
          <w:szCs w:val="32"/>
        </w:rPr>
        <w:t>200</w:t>
      </w:r>
      <w:r w:rsidRPr="00DC38C7">
        <w:rPr>
          <w:rFonts w:ascii="Times New Roman" w:eastAsia="標楷體" w:hAnsi="Times New Roman" w:cs="Times New Roman"/>
          <w:sz w:val="32"/>
          <w:szCs w:val="32"/>
        </w:rPr>
        <w:t>股特別股之衡量應依下列方式處理：</w:t>
      </w:r>
    </w:p>
    <w:p w:rsidR="002F10EF" w:rsidRPr="00DC38C7" w:rsidRDefault="002F10EF" w:rsidP="002F10EF">
      <w:pPr>
        <w:pStyle w:val="a7"/>
        <w:numPr>
          <w:ilvl w:val="0"/>
          <w:numId w:val="7"/>
        </w:numPr>
        <w:spacing w:before="100" w:beforeAutospacing="1" w:after="100" w:afterAutospacing="1" w:line="400" w:lineRule="exact"/>
        <w:ind w:leftChars="0"/>
        <w:rPr>
          <w:rFonts w:ascii="Times New Roman" w:eastAsia="標楷體" w:hAnsi="Times New Roman" w:cs="Times New Roman"/>
          <w:sz w:val="32"/>
          <w:szCs w:val="32"/>
        </w:rPr>
      </w:pPr>
      <w:r w:rsidRPr="00DC38C7">
        <w:rPr>
          <w:rFonts w:ascii="Times New Roman" w:eastAsia="標楷體" w:hAnsi="Times New Roman" w:cs="Times New Roman"/>
          <w:sz w:val="32"/>
          <w:szCs w:val="32"/>
        </w:rPr>
        <w:t>乙公司其餘</w:t>
      </w:r>
      <w:r w:rsidRPr="00DC38C7">
        <w:rPr>
          <w:rFonts w:ascii="Times New Roman" w:eastAsia="標楷體" w:hAnsi="Times New Roman" w:cs="Times New Roman"/>
          <w:sz w:val="32"/>
          <w:szCs w:val="32"/>
        </w:rPr>
        <w:t>20%</w:t>
      </w:r>
      <w:r w:rsidRPr="00DC38C7">
        <w:rPr>
          <w:rFonts w:ascii="Times New Roman" w:eastAsia="標楷體" w:hAnsi="Times New Roman" w:cs="Times New Roman"/>
          <w:sz w:val="32"/>
          <w:szCs w:val="32"/>
        </w:rPr>
        <w:t>普通股：</w:t>
      </w:r>
    </w:p>
    <w:p w:rsidR="002F10EF" w:rsidRPr="00DC38C7" w:rsidRDefault="002F10EF" w:rsidP="002F10EF">
      <w:pPr>
        <w:pStyle w:val="a7"/>
        <w:spacing w:before="100" w:beforeAutospacing="1" w:after="100" w:afterAutospacing="1" w:line="400" w:lineRule="exact"/>
        <w:ind w:leftChars="0" w:left="1320"/>
        <w:rPr>
          <w:rFonts w:ascii="Times New Roman" w:eastAsia="標楷體" w:hAnsi="Times New Roman" w:cs="Times New Roman"/>
          <w:sz w:val="32"/>
          <w:szCs w:val="32"/>
        </w:rPr>
      </w:pPr>
      <w:r w:rsidRPr="00DC38C7">
        <w:rPr>
          <w:rFonts w:ascii="Times New Roman" w:eastAsia="標楷體" w:hAnsi="Times New Roman" w:cs="Times New Roman"/>
          <w:sz w:val="32"/>
          <w:szCs w:val="32"/>
        </w:rPr>
        <w:t>依照我國法令規定，普通股股東對乙公司所有權享有依持股比例分配股息及紅利之權利，且有權於清算發生時按持股比例享有乙公司之淨資產，故該</w:t>
      </w:r>
      <w:r w:rsidRPr="00DC38C7">
        <w:rPr>
          <w:rFonts w:ascii="Times New Roman" w:eastAsia="標楷體" w:hAnsi="Times New Roman" w:cs="Times New Roman"/>
          <w:sz w:val="32"/>
          <w:szCs w:val="32"/>
        </w:rPr>
        <w:t>20%</w:t>
      </w:r>
      <w:r w:rsidRPr="00DC38C7">
        <w:rPr>
          <w:rFonts w:ascii="Times New Roman" w:eastAsia="標楷體" w:hAnsi="Times New Roman" w:cs="Times New Roman"/>
          <w:sz w:val="32"/>
          <w:szCs w:val="32"/>
        </w:rPr>
        <w:t>普通股股東係屬</w:t>
      </w:r>
      <w:r w:rsidRPr="00A41277">
        <w:rPr>
          <w:rFonts w:ascii="Times New Roman" w:eastAsia="標楷體" w:hAnsi="Times New Roman" w:cs="Times New Roman"/>
          <w:sz w:val="32"/>
          <w:szCs w:val="32"/>
        </w:rPr>
        <w:t>現時所有權權益，且其持有者有權於清算發生時按持股比例享有企業淨資產</w:t>
      </w:r>
      <w:r w:rsidRPr="00DC38C7">
        <w:rPr>
          <w:rFonts w:ascii="Times New Roman" w:eastAsia="標楷體" w:hAnsi="Times New Roman" w:cs="Times New Roman"/>
          <w:sz w:val="32"/>
          <w:szCs w:val="32"/>
        </w:rPr>
        <w:t>的非控制權益。因此，甲公司收購乙公司時，對該等普通股量可選擇按公允價值或按可辨認淨資產已</w:t>
      </w:r>
      <w:r w:rsidRPr="00DC38C7">
        <w:rPr>
          <w:rFonts w:ascii="Times New Roman" w:eastAsia="標楷體" w:hAnsi="Times New Roman" w:cs="Times New Roman"/>
          <w:sz w:val="32"/>
          <w:szCs w:val="32"/>
        </w:rPr>
        <w:lastRenderedPageBreak/>
        <w:t>認列金額之</w:t>
      </w:r>
      <w:r w:rsidRPr="00DC38C7">
        <w:rPr>
          <w:rFonts w:ascii="Times New Roman" w:eastAsia="標楷體" w:hAnsi="Times New Roman" w:cs="Times New Roman"/>
          <w:sz w:val="32"/>
          <w:szCs w:val="32"/>
        </w:rPr>
        <w:t>20%</w:t>
      </w:r>
      <w:r w:rsidRPr="00DC38C7">
        <w:rPr>
          <w:rFonts w:ascii="Times New Roman" w:eastAsia="標楷體" w:hAnsi="Times New Roman" w:cs="Times New Roman"/>
          <w:sz w:val="32"/>
          <w:szCs w:val="32"/>
        </w:rPr>
        <w:t>予以衡量。</w:t>
      </w:r>
    </w:p>
    <w:p w:rsidR="002F10EF" w:rsidRPr="00DC38C7" w:rsidRDefault="002F10EF" w:rsidP="002F10EF">
      <w:pPr>
        <w:pStyle w:val="a7"/>
        <w:numPr>
          <w:ilvl w:val="0"/>
          <w:numId w:val="7"/>
        </w:numPr>
        <w:spacing w:before="100" w:beforeAutospacing="1" w:after="100" w:afterAutospacing="1" w:line="400" w:lineRule="exact"/>
        <w:ind w:leftChars="0"/>
        <w:rPr>
          <w:rFonts w:ascii="Times New Roman" w:eastAsia="標楷體" w:hAnsi="Times New Roman" w:cs="Times New Roman"/>
          <w:sz w:val="32"/>
          <w:szCs w:val="32"/>
        </w:rPr>
      </w:pPr>
      <w:r w:rsidRPr="00DC38C7">
        <w:rPr>
          <w:rFonts w:ascii="Times New Roman" w:eastAsia="標楷體" w:hAnsi="Times New Roman" w:cs="Times New Roman"/>
          <w:sz w:val="32"/>
          <w:szCs w:val="32"/>
        </w:rPr>
        <w:t>乙公司特別股：</w:t>
      </w:r>
    </w:p>
    <w:p w:rsidR="002F10EF" w:rsidRPr="00DC38C7" w:rsidRDefault="002F10EF" w:rsidP="002F10EF">
      <w:pPr>
        <w:pStyle w:val="a7"/>
        <w:spacing w:before="100" w:beforeAutospacing="1" w:after="100" w:afterAutospacing="1" w:line="400" w:lineRule="exact"/>
        <w:ind w:leftChars="0" w:left="1320"/>
        <w:rPr>
          <w:rFonts w:ascii="Times New Roman" w:eastAsia="標楷體" w:hAnsi="Times New Roman" w:cs="Times New Roman"/>
          <w:sz w:val="32"/>
          <w:szCs w:val="32"/>
        </w:rPr>
      </w:pPr>
      <w:r w:rsidRPr="00DC38C7">
        <w:rPr>
          <w:rFonts w:ascii="Times New Roman" w:eastAsia="標楷體" w:hAnsi="Times New Roman" w:cs="Times New Roman"/>
          <w:sz w:val="32"/>
          <w:szCs w:val="32"/>
        </w:rPr>
        <w:t>由於清算發生時該等特別股股東沒有權利按持股比例享有乙公司之淨資產，因此不符合</w:t>
      </w:r>
      <w:r w:rsidRPr="00A41277">
        <w:rPr>
          <w:rFonts w:ascii="Times New Roman" w:eastAsia="標楷體" w:hAnsi="Times New Roman" w:cs="Times New Roman"/>
          <w:sz w:val="32"/>
          <w:szCs w:val="32"/>
        </w:rPr>
        <w:t>持有者有權於清算發生時按持股比例享有企業淨資產</w:t>
      </w:r>
      <w:r w:rsidRPr="00DC38C7">
        <w:rPr>
          <w:rFonts w:ascii="Times New Roman" w:eastAsia="標楷體" w:hAnsi="Times New Roman" w:cs="Times New Roman"/>
          <w:sz w:val="32"/>
          <w:szCs w:val="32"/>
        </w:rPr>
        <w:t>之條件，</w:t>
      </w:r>
      <w:proofErr w:type="gramStart"/>
      <w:r w:rsidRPr="00DC38C7">
        <w:rPr>
          <w:rFonts w:ascii="Times New Roman" w:eastAsia="標楷體" w:hAnsi="Times New Roman" w:cs="Times New Roman"/>
          <w:sz w:val="32"/>
          <w:szCs w:val="32"/>
        </w:rPr>
        <w:t>故甲公司</w:t>
      </w:r>
      <w:proofErr w:type="gramEnd"/>
      <w:r w:rsidRPr="00DC38C7">
        <w:rPr>
          <w:rFonts w:ascii="Times New Roman" w:eastAsia="標楷體" w:hAnsi="Times New Roman" w:cs="Times New Roman"/>
          <w:sz w:val="32"/>
          <w:szCs w:val="32"/>
        </w:rPr>
        <w:t>收購乙公司時，對該等特別股的衡量不能作會計政策的選擇，而應採用公允價值衡量（請詳第</w:t>
      </w:r>
      <w:r w:rsidR="008F4EFD" w:rsidRPr="00DC38C7">
        <w:rPr>
          <w:rFonts w:ascii="Times New Roman" w:eastAsia="標楷體" w:hAnsi="Times New Roman" w:cs="Times New Roman"/>
          <w:sz w:val="32"/>
          <w:szCs w:val="32"/>
        </w:rPr>
        <w:t>2</w:t>
      </w:r>
      <w:r w:rsidR="008F4EFD" w:rsidRPr="00DC38C7">
        <w:rPr>
          <w:rFonts w:ascii="Times New Roman" w:eastAsia="標楷體" w:hAnsi="Times New Roman" w:cs="Times New Roman"/>
          <w:sz w:val="32"/>
          <w:szCs w:val="32"/>
        </w:rPr>
        <w:t>點</w:t>
      </w:r>
      <w:r w:rsidRPr="00DC38C7">
        <w:rPr>
          <w:rFonts w:ascii="Times New Roman" w:eastAsia="標楷體" w:hAnsi="Times New Roman" w:cs="Times New Roman"/>
          <w:sz w:val="32"/>
          <w:szCs w:val="32"/>
        </w:rPr>
        <w:t>說明）。</w:t>
      </w:r>
    </w:p>
    <w:p w:rsidR="00F432F3" w:rsidRPr="00DC38C7" w:rsidRDefault="00F432F3" w:rsidP="00F432F3">
      <w:pPr>
        <w:pStyle w:val="a7"/>
        <w:spacing w:before="100" w:beforeAutospacing="1" w:after="100" w:afterAutospacing="1" w:line="400" w:lineRule="exact"/>
        <w:ind w:leftChars="0" w:left="1068"/>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釋例</w:t>
      </w:r>
      <w:proofErr w:type="gramEnd"/>
      <w:r>
        <w:rPr>
          <w:rFonts w:ascii="Times New Roman" w:eastAsia="標楷體" w:hAnsi="Times New Roman" w:cs="Times New Roman" w:hint="eastAsia"/>
          <w:sz w:val="32"/>
          <w:szCs w:val="32"/>
        </w:rPr>
        <w:t>2</w:t>
      </w:r>
      <w:r w:rsidRPr="00DC38C7">
        <w:rPr>
          <w:rFonts w:ascii="Times New Roman" w:eastAsia="標楷體" w:hAnsi="Times New Roman" w:cs="Times New Roman"/>
          <w:sz w:val="32"/>
          <w:szCs w:val="32"/>
        </w:rPr>
        <w:t>：</w:t>
      </w:r>
    </w:p>
    <w:p w:rsidR="002141F9" w:rsidRPr="009C7A58" w:rsidRDefault="009C7A58"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Pr>
          <w:rFonts w:ascii="Times New Roman" w:eastAsia="標楷體" w:hAnsi="Times New Roman" w:cs="Times New Roman" w:hint="eastAsia"/>
          <w:sz w:val="32"/>
          <w:szCs w:val="32"/>
        </w:rPr>
        <w:t>假設</w:t>
      </w:r>
      <w:r w:rsidR="002141F9" w:rsidRPr="009C7A58">
        <w:rPr>
          <w:rFonts w:ascii="Times New Roman" w:eastAsia="標楷體" w:hAnsi="Times New Roman" w:cs="Times New Roman" w:hint="eastAsia"/>
          <w:sz w:val="32"/>
          <w:szCs w:val="32"/>
        </w:rPr>
        <w:t>S</w:t>
      </w:r>
      <w:r w:rsidR="002141F9" w:rsidRPr="009C7A58">
        <w:rPr>
          <w:rFonts w:ascii="Times New Roman" w:eastAsia="標楷體" w:hAnsi="Times New Roman" w:cs="Times New Roman" w:hint="eastAsia"/>
          <w:sz w:val="32"/>
          <w:szCs w:val="32"/>
        </w:rPr>
        <w:t>公司已發行每股面額</w:t>
      </w:r>
      <w:r w:rsidR="002141F9" w:rsidRPr="009C7A58">
        <w:rPr>
          <w:rFonts w:ascii="Times New Roman" w:eastAsia="標楷體" w:hAnsi="Times New Roman" w:cs="Times New Roman" w:hint="eastAsia"/>
          <w:sz w:val="32"/>
          <w:szCs w:val="32"/>
        </w:rPr>
        <w:t>CU1</w:t>
      </w:r>
      <w:r w:rsidR="002141F9" w:rsidRPr="009C7A58">
        <w:rPr>
          <w:rFonts w:ascii="Times New Roman" w:eastAsia="標楷體" w:hAnsi="Times New Roman" w:cs="Times New Roman" w:hint="eastAsia"/>
          <w:sz w:val="32"/>
          <w:szCs w:val="32"/>
        </w:rPr>
        <w:t>之特別股</w:t>
      </w:r>
      <w:r w:rsidR="002141F9" w:rsidRPr="009C7A58">
        <w:rPr>
          <w:rFonts w:ascii="Times New Roman" w:eastAsia="標楷體" w:hAnsi="Times New Roman" w:cs="Times New Roman" w:hint="eastAsia"/>
          <w:sz w:val="32"/>
          <w:szCs w:val="32"/>
        </w:rPr>
        <w:t>100</w:t>
      </w:r>
      <w:r w:rsidR="002141F9" w:rsidRPr="009C7A58">
        <w:rPr>
          <w:rFonts w:ascii="Times New Roman" w:eastAsia="標楷體" w:hAnsi="Times New Roman" w:cs="Times New Roman" w:hint="eastAsia"/>
          <w:sz w:val="32"/>
          <w:szCs w:val="32"/>
        </w:rPr>
        <w:t>股，分類為權益。特別股股東享有股利分配優先權。假設於</w:t>
      </w:r>
      <w:r w:rsidR="002141F9" w:rsidRPr="009C7A58">
        <w:rPr>
          <w:rFonts w:ascii="Times New Roman" w:eastAsia="標楷體" w:hAnsi="Times New Roman" w:cs="Times New Roman" w:hint="eastAsia"/>
          <w:sz w:val="32"/>
          <w:szCs w:val="32"/>
        </w:rPr>
        <w:t>S</w:t>
      </w:r>
      <w:r w:rsidR="002141F9" w:rsidRPr="009C7A58">
        <w:rPr>
          <w:rFonts w:ascii="Times New Roman" w:eastAsia="標楷體" w:hAnsi="Times New Roman" w:cs="Times New Roman" w:hint="eastAsia"/>
          <w:sz w:val="32"/>
          <w:szCs w:val="32"/>
        </w:rPr>
        <w:t>公司清算時，該等特別股股東與普通股股東享有相同權利及順位。</w:t>
      </w:r>
      <w:r w:rsidR="002141F9" w:rsidRPr="009C7A58">
        <w:rPr>
          <w:rFonts w:ascii="Times New Roman" w:eastAsia="標楷體" w:hAnsi="Times New Roman" w:cs="Times New Roman" w:hint="eastAsia"/>
          <w:sz w:val="32"/>
          <w:szCs w:val="32"/>
        </w:rPr>
        <w:t>P</w:t>
      </w:r>
      <w:r w:rsidR="002141F9" w:rsidRPr="009C7A58">
        <w:rPr>
          <w:rFonts w:ascii="Times New Roman" w:eastAsia="標楷體" w:hAnsi="Times New Roman" w:cs="Times New Roman" w:hint="eastAsia"/>
          <w:sz w:val="32"/>
          <w:szCs w:val="32"/>
        </w:rPr>
        <w:t>公司取得</w:t>
      </w:r>
      <w:r w:rsidR="002141F9" w:rsidRPr="009C7A58">
        <w:rPr>
          <w:rFonts w:ascii="Times New Roman" w:eastAsia="標楷體" w:hAnsi="Times New Roman" w:cs="Times New Roman" w:hint="eastAsia"/>
          <w:sz w:val="32"/>
          <w:szCs w:val="32"/>
        </w:rPr>
        <w:t>S</w:t>
      </w:r>
      <w:r w:rsidR="002141F9" w:rsidRPr="009C7A58">
        <w:rPr>
          <w:rFonts w:ascii="Times New Roman" w:eastAsia="標楷體" w:hAnsi="Times New Roman" w:cs="Times New Roman" w:hint="eastAsia"/>
          <w:sz w:val="32"/>
          <w:szCs w:val="32"/>
        </w:rPr>
        <w:t>公司之所有普通股，並取得對</w:t>
      </w:r>
      <w:r w:rsidR="002141F9" w:rsidRPr="009C7A58">
        <w:rPr>
          <w:rFonts w:ascii="Times New Roman" w:eastAsia="標楷體" w:hAnsi="Times New Roman" w:cs="Times New Roman" w:hint="eastAsia"/>
          <w:sz w:val="32"/>
          <w:szCs w:val="32"/>
        </w:rPr>
        <w:t>S</w:t>
      </w:r>
      <w:r w:rsidR="002141F9" w:rsidRPr="009C7A58">
        <w:rPr>
          <w:rFonts w:ascii="Times New Roman" w:eastAsia="標楷體" w:hAnsi="Times New Roman" w:cs="Times New Roman" w:hint="eastAsia"/>
          <w:sz w:val="32"/>
          <w:szCs w:val="32"/>
        </w:rPr>
        <w:t>公司之控制。假設該等特別股於收購日之公允價值為</w:t>
      </w:r>
      <w:r w:rsidR="002141F9" w:rsidRPr="009C7A58">
        <w:rPr>
          <w:rFonts w:ascii="Times New Roman" w:eastAsia="標楷體" w:hAnsi="Times New Roman" w:cs="Times New Roman" w:hint="eastAsia"/>
          <w:sz w:val="32"/>
          <w:szCs w:val="32"/>
        </w:rPr>
        <w:t>CU160</w:t>
      </w:r>
      <w:r w:rsidR="002141F9" w:rsidRPr="009C7A58">
        <w:rPr>
          <w:rFonts w:ascii="Times New Roman" w:eastAsia="標楷體" w:hAnsi="Times New Roman" w:cs="Times New Roman" w:hint="eastAsia"/>
          <w:sz w:val="32"/>
          <w:szCs w:val="32"/>
        </w:rPr>
        <w:t>，且</w:t>
      </w:r>
      <w:r w:rsidR="002141F9" w:rsidRPr="009C7A58">
        <w:rPr>
          <w:rFonts w:ascii="Times New Roman" w:eastAsia="標楷體" w:hAnsi="Times New Roman" w:cs="Times New Roman" w:hint="eastAsia"/>
          <w:sz w:val="32"/>
          <w:szCs w:val="32"/>
        </w:rPr>
        <w:t>S</w:t>
      </w:r>
      <w:r w:rsidR="002141F9" w:rsidRPr="009C7A58">
        <w:rPr>
          <w:rFonts w:ascii="Times New Roman" w:eastAsia="標楷體" w:hAnsi="Times New Roman" w:cs="Times New Roman" w:hint="eastAsia"/>
          <w:sz w:val="32"/>
          <w:szCs w:val="32"/>
        </w:rPr>
        <w:t>公司可辨認淨資產之已認列金額按比例份額歸屬於特別股之金額為</w:t>
      </w:r>
      <w:r w:rsidR="002141F9" w:rsidRPr="009C7A58">
        <w:rPr>
          <w:rFonts w:ascii="Times New Roman" w:eastAsia="標楷體" w:hAnsi="Times New Roman" w:cs="Times New Roman" w:hint="eastAsia"/>
          <w:sz w:val="32"/>
          <w:szCs w:val="32"/>
        </w:rPr>
        <w:t>CU140</w:t>
      </w:r>
      <w:r w:rsidR="002141F9" w:rsidRPr="009C7A58">
        <w:rPr>
          <w:rFonts w:ascii="Times New Roman" w:eastAsia="標楷體" w:hAnsi="Times New Roman" w:cs="Times New Roman" w:hint="eastAsia"/>
          <w:sz w:val="32"/>
          <w:szCs w:val="32"/>
        </w:rPr>
        <w:t>。於收購日</w:t>
      </w:r>
      <w:r w:rsidR="002141F9" w:rsidRPr="009C7A58">
        <w:rPr>
          <w:rFonts w:ascii="Times New Roman" w:eastAsia="標楷體" w:hAnsi="Times New Roman" w:cs="Times New Roman" w:hint="eastAsia"/>
          <w:sz w:val="32"/>
          <w:szCs w:val="32"/>
        </w:rPr>
        <w:t>P</w:t>
      </w:r>
      <w:r w:rsidR="002141F9" w:rsidRPr="009C7A58">
        <w:rPr>
          <w:rFonts w:ascii="Times New Roman" w:eastAsia="標楷體" w:hAnsi="Times New Roman" w:cs="Times New Roman" w:hint="eastAsia"/>
          <w:sz w:val="32"/>
          <w:szCs w:val="32"/>
        </w:rPr>
        <w:t>公司如何衡量與該等特別股有關之</w:t>
      </w:r>
      <w:r>
        <w:rPr>
          <w:rFonts w:ascii="Times New Roman" w:eastAsia="標楷體" w:hAnsi="Times New Roman" w:cs="Times New Roman" w:hint="eastAsia"/>
          <w:sz w:val="32"/>
          <w:szCs w:val="32"/>
        </w:rPr>
        <w:t>非控制權益？</w:t>
      </w:r>
    </w:p>
    <w:p w:rsidR="002141F9" w:rsidRPr="009C7A58" w:rsidRDefault="009C7A58"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Pr>
          <w:rFonts w:ascii="Times New Roman" w:eastAsia="標楷體" w:hAnsi="Times New Roman" w:cs="Times New Roman" w:hint="eastAsia"/>
          <w:sz w:val="32"/>
          <w:szCs w:val="32"/>
        </w:rPr>
        <w:t>分析：</w:t>
      </w:r>
      <w:r w:rsidR="002141F9" w:rsidRPr="009C7A58">
        <w:rPr>
          <w:rFonts w:ascii="Times New Roman" w:eastAsia="標楷體" w:hAnsi="Times New Roman" w:cs="Times New Roman" w:hint="eastAsia"/>
          <w:sz w:val="32"/>
          <w:szCs w:val="32"/>
        </w:rPr>
        <w:t>該等特別股符合</w:t>
      </w:r>
      <w:r w:rsidR="002141F9" w:rsidRPr="009C7A58">
        <w:rPr>
          <w:rFonts w:ascii="Times New Roman" w:eastAsia="標楷體" w:hAnsi="Times New Roman" w:cs="Times New Roman" w:hint="eastAsia"/>
          <w:sz w:val="32"/>
          <w:szCs w:val="32"/>
        </w:rPr>
        <w:t>IFRS 3</w:t>
      </w:r>
      <w:r w:rsidR="002141F9" w:rsidRPr="009C7A58">
        <w:rPr>
          <w:rFonts w:ascii="Times New Roman" w:eastAsia="標楷體" w:hAnsi="Times New Roman" w:cs="Times New Roman" w:hint="eastAsia"/>
          <w:sz w:val="32"/>
          <w:szCs w:val="32"/>
        </w:rPr>
        <w:t>第</w:t>
      </w:r>
      <w:r w:rsidR="002141F9" w:rsidRPr="009C7A58">
        <w:rPr>
          <w:rFonts w:ascii="Times New Roman" w:eastAsia="標楷體" w:hAnsi="Times New Roman" w:cs="Times New Roman" w:hint="eastAsia"/>
          <w:sz w:val="32"/>
          <w:szCs w:val="32"/>
        </w:rPr>
        <w:t>19</w:t>
      </w:r>
      <w:r w:rsidR="002141F9" w:rsidRPr="009C7A58">
        <w:rPr>
          <w:rFonts w:ascii="Times New Roman" w:eastAsia="標楷體" w:hAnsi="Times New Roman" w:cs="Times New Roman" w:hint="eastAsia"/>
          <w:sz w:val="32"/>
          <w:szCs w:val="32"/>
        </w:rPr>
        <w:t>段中衡量選擇之規定。</w:t>
      </w:r>
      <w:r w:rsidR="002141F9" w:rsidRPr="009C7A58">
        <w:rPr>
          <w:rFonts w:ascii="Times New Roman" w:eastAsia="標楷體" w:hAnsi="Times New Roman" w:cs="Times New Roman" w:hint="eastAsia"/>
          <w:sz w:val="32"/>
          <w:szCs w:val="32"/>
        </w:rPr>
        <w:t>P</w:t>
      </w:r>
      <w:r w:rsidR="002141F9" w:rsidRPr="009C7A58">
        <w:rPr>
          <w:rFonts w:ascii="Times New Roman" w:eastAsia="標楷體" w:hAnsi="Times New Roman" w:cs="Times New Roman" w:hint="eastAsia"/>
          <w:sz w:val="32"/>
          <w:szCs w:val="32"/>
        </w:rPr>
        <w:t>公司能選擇按收購日公允價值</w:t>
      </w:r>
      <w:r w:rsidR="002141F9" w:rsidRPr="009C7A58">
        <w:rPr>
          <w:rFonts w:ascii="Times New Roman" w:eastAsia="標楷體" w:hAnsi="Times New Roman" w:cs="Times New Roman" w:hint="eastAsia"/>
          <w:sz w:val="32"/>
          <w:szCs w:val="32"/>
        </w:rPr>
        <w:t xml:space="preserve">CU160 </w:t>
      </w:r>
      <w:r w:rsidR="002141F9" w:rsidRPr="009C7A58">
        <w:rPr>
          <w:rFonts w:ascii="Times New Roman" w:eastAsia="標楷體" w:hAnsi="Times New Roman" w:cs="Times New Roman" w:hint="eastAsia"/>
          <w:sz w:val="32"/>
          <w:szCs w:val="32"/>
        </w:rPr>
        <w:t>或按特別股對被收購者可辨認淨資產之已認列金額所享有之比例份額</w:t>
      </w:r>
      <w:r w:rsidR="002141F9" w:rsidRPr="009C7A58">
        <w:rPr>
          <w:rFonts w:ascii="Times New Roman" w:eastAsia="標楷體" w:hAnsi="Times New Roman" w:cs="Times New Roman" w:hint="eastAsia"/>
          <w:sz w:val="32"/>
          <w:szCs w:val="32"/>
        </w:rPr>
        <w:t>CU140</w:t>
      </w:r>
      <w:r w:rsidR="002141F9" w:rsidRPr="009C7A58">
        <w:rPr>
          <w:rFonts w:ascii="Times New Roman" w:eastAsia="標楷體" w:hAnsi="Times New Roman" w:cs="Times New Roman" w:hint="eastAsia"/>
          <w:sz w:val="32"/>
          <w:szCs w:val="32"/>
        </w:rPr>
        <w:t>，衡量該等特別股。</w:t>
      </w:r>
    </w:p>
    <w:p w:rsidR="00F432F3" w:rsidRPr="00DC38C7" w:rsidRDefault="00F432F3" w:rsidP="00F432F3">
      <w:pPr>
        <w:pStyle w:val="a7"/>
        <w:spacing w:before="100" w:beforeAutospacing="1" w:after="100" w:afterAutospacing="1" w:line="400" w:lineRule="exact"/>
        <w:ind w:leftChars="0" w:left="1068"/>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釋例</w:t>
      </w:r>
      <w:proofErr w:type="gramEnd"/>
      <w:r>
        <w:rPr>
          <w:rFonts w:ascii="Times New Roman" w:eastAsia="標楷體" w:hAnsi="Times New Roman" w:cs="Times New Roman" w:hint="eastAsia"/>
          <w:sz w:val="32"/>
          <w:szCs w:val="32"/>
        </w:rPr>
        <w:t>3</w:t>
      </w:r>
      <w:r w:rsidRPr="00DC38C7">
        <w:rPr>
          <w:rFonts w:ascii="Times New Roman" w:eastAsia="標楷體" w:hAnsi="Times New Roman" w:cs="Times New Roman"/>
          <w:sz w:val="32"/>
          <w:szCs w:val="32"/>
        </w:rPr>
        <w:t>：</w:t>
      </w:r>
    </w:p>
    <w:p w:rsidR="002141F9" w:rsidRDefault="002141F9"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2141F9">
        <w:rPr>
          <w:rFonts w:ascii="Times New Roman" w:eastAsia="標楷體" w:hAnsi="Times New Roman" w:cs="Times New Roman" w:hint="eastAsia"/>
          <w:sz w:val="32"/>
          <w:szCs w:val="32"/>
        </w:rPr>
        <w:t>S</w:t>
      </w:r>
      <w:r w:rsidRPr="002141F9">
        <w:rPr>
          <w:rFonts w:ascii="Times New Roman" w:eastAsia="標楷體" w:hAnsi="Times New Roman" w:cs="Times New Roman" w:hint="eastAsia"/>
          <w:sz w:val="32"/>
          <w:szCs w:val="32"/>
        </w:rPr>
        <w:t>公司已發行每股面額</w:t>
      </w:r>
      <w:r w:rsidRPr="002141F9">
        <w:rPr>
          <w:rFonts w:ascii="Times New Roman" w:eastAsia="標楷體" w:hAnsi="Times New Roman" w:cs="Times New Roman" w:hint="eastAsia"/>
          <w:sz w:val="32"/>
          <w:szCs w:val="32"/>
        </w:rPr>
        <w:t>CU1</w:t>
      </w:r>
      <w:r w:rsidRPr="002141F9">
        <w:rPr>
          <w:rFonts w:ascii="Times New Roman" w:eastAsia="標楷體" w:hAnsi="Times New Roman" w:cs="Times New Roman" w:hint="eastAsia"/>
          <w:sz w:val="32"/>
          <w:szCs w:val="32"/>
        </w:rPr>
        <w:t>之特別股</w:t>
      </w:r>
      <w:r w:rsidRPr="002141F9">
        <w:rPr>
          <w:rFonts w:ascii="Times New Roman" w:eastAsia="標楷體" w:hAnsi="Times New Roman" w:cs="Times New Roman" w:hint="eastAsia"/>
          <w:sz w:val="32"/>
          <w:szCs w:val="32"/>
        </w:rPr>
        <w:t>100</w:t>
      </w:r>
      <w:r w:rsidRPr="002141F9">
        <w:rPr>
          <w:rFonts w:ascii="Times New Roman" w:eastAsia="標楷體" w:hAnsi="Times New Roman" w:cs="Times New Roman" w:hint="eastAsia"/>
          <w:sz w:val="32"/>
          <w:szCs w:val="32"/>
        </w:rPr>
        <w:t>股，分類為權益。特別股股東享有股利分配優先權。於</w:t>
      </w:r>
      <w:r w:rsidRPr="002141F9">
        <w:rPr>
          <w:rFonts w:ascii="Times New Roman" w:eastAsia="標楷體" w:hAnsi="Times New Roman" w:cs="Times New Roman" w:hint="eastAsia"/>
          <w:sz w:val="32"/>
          <w:szCs w:val="32"/>
        </w:rPr>
        <w:t>S</w:t>
      </w:r>
      <w:r w:rsidRPr="002141F9">
        <w:rPr>
          <w:rFonts w:ascii="Times New Roman" w:eastAsia="標楷體" w:hAnsi="Times New Roman" w:cs="Times New Roman" w:hint="eastAsia"/>
          <w:sz w:val="32"/>
          <w:szCs w:val="32"/>
        </w:rPr>
        <w:t>公司清算時，特別股股東除了有權優先於普通股股東收取每股</w:t>
      </w:r>
      <w:r w:rsidR="00E91C6E">
        <w:rPr>
          <w:rFonts w:ascii="Times New Roman" w:eastAsia="標楷體" w:hAnsi="Times New Roman" w:cs="Times New Roman" w:hint="eastAsia"/>
          <w:sz w:val="32"/>
          <w:szCs w:val="32"/>
        </w:rPr>
        <w:t>CU1</w:t>
      </w:r>
      <w:r w:rsidRPr="002141F9">
        <w:rPr>
          <w:rFonts w:ascii="Times New Roman" w:eastAsia="標楷體" w:hAnsi="Times New Roman" w:cs="Times New Roman" w:hint="eastAsia"/>
          <w:sz w:val="32"/>
          <w:szCs w:val="32"/>
        </w:rPr>
        <w:t>之金額外，特別股股東於清算時並無更多其他權利。</w:t>
      </w:r>
      <w:r w:rsidRPr="002141F9">
        <w:rPr>
          <w:rFonts w:ascii="Times New Roman" w:eastAsia="標楷體" w:hAnsi="Times New Roman" w:cs="Times New Roman" w:hint="eastAsia"/>
          <w:sz w:val="32"/>
          <w:szCs w:val="32"/>
        </w:rPr>
        <w:t>P</w:t>
      </w:r>
      <w:r w:rsidRPr="002141F9">
        <w:rPr>
          <w:rFonts w:ascii="Times New Roman" w:eastAsia="標楷體" w:hAnsi="Times New Roman" w:cs="Times New Roman" w:hint="eastAsia"/>
          <w:sz w:val="32"/>
          <w:szCs w:val="32"/>
        </w:rPr>
        <w:t>公司取得</w:t>
      </w:r>
      <w:r w:rsidRPr="002141F9">
        <w:rPr>
          <w:rFonts w:ascii="Times New Roman" w:eastAsia="標楷體" w:hAnsi="Times New Roman" w:cs="Times New Roman" w:hint="eastAsia"/>
          <w:sz w:val="32"/>
          <w:szCs w:val="32"/>
        </w:rPr>
        <w:t>S</w:t>
      </w:r>
      <w:r w:rsidRPr="002141F9">
        <w:rPr>
          <w:rFonts w:ascii="Times New Roman" w:eastAsia="標楷體" w:hAnsi="Times New Roman" w:cs="Times New Roman" w:hint="eastAsia"/>
          <w:sz w:val="32"/>
          <w:szCs w:val="32"/>
        </w:rPr>
        <w:t>公司之所有普通股，並取得對</w:t>
      </w:r>
      <w:r w:rsidRPr="002141F9">
        <w:rPr>
          <w:rFonts w:ascii="Times New Roman" w:eastAsia="標楷體" w:hAnsi="Times New Roman" w:cs="Times New Roman" w:hint="eastAsia"/>
          <w:sz w:val="32"/>
          <w:szCs w:val="32"/>
        </w:rPr>
        <w:t>S</w:t>
      </w:r>
      <w:r w:rsidRPr="002141F9">
        <w:rPr>
          <w:rFonts w:ascii="Times New Roman" w:eastAsia="標楷體" w:hAnsi="Times New Roman" w:cs="Times New Roman" w:hint="eastAsia"/>
          <w:sz w:val="32"/>
          <w:szCs w:val="32"/>
        </w:rPr>
        <w:t>公司之控制。該等特別股於收購日之公允價</w:t>
      </w:r>
      <w:r w:rsidRPr="002141F9">
        <w:rPr>
          <w:rFonts w:ascii="Times New Roman" w:eastAsia="標楷體" w:hAnsi="Times New Roman" w:cs="Times New Roman" w:hint="eastAsia"/>
          <w:sz w:val="32"/>
          <w:szCs w:val="32"/>
        </w:rPr>
        <w:lastRenderedPageBreak/>
        <w:t>值為</w:t>
      </w:r>
      <w:r w:rsidRPr="002141F9">
        <w:rPr>
          <w:rFonts w:ascii="Times New Roman" w:eastAsia="標楷體" w:hAnsi="Times New Roman" w:cs="Times New Roman" w:hint="eastAsia"/>
          <w:sz w:val="32"/>
          <w:szCs w:val="32"/>
        </w:rPr>
        <w:t>CU120</w:t>
      </w:r>
      <w:r w:rsidRPr="002141F9">
        <w:rPr>
          <w:rFonts w:ascii="Times New Roman" w:eastAsia="標楷體" w:hAnsi="Times New Roman" w:cs="Times New Roman" w:hint="eastAsia"/>
          <w:sz w:val="32"/>
          <w:szCs w:val="32"/>
        </w:rPr>
        <w:t>。於收購日</w:t>
      </w:r>
      <w:r w:rsidRPr="002141F9">
        <w:rPr>
          <w:rFonts w:ascii="Times New Roman" w:eastAsia="標楷體" w:hAnsi="Times New Roman" w:cs="Times New Roman" w:hint="eastAsia"/>
          <w:sz w:val="32"/>
          <w:szCs w:val="32"/>
        </w:rPr>
        <w:t>P</w:t>
      </w:r>
      <w:r w:rsidRPr="002141F9">
        <w:rPr>
          <w:rFonts w:ascii="Times New Roman" w:eastAsia="標楷體" w:hAnsi="Times New Roman" w:cs="Times New Roman" w:hint="eastAsia"/>
          <w:sz w:val="32"/>
          <w:szCs w:val="32"/>
        </w:rPr>
        <w:t>公司如何衡量與該等特別股有關之</w:t>
      </w:r>
      <w:r>
        <w:rPr>
          <w:rFonts w:ascii="Times New Roman" w:eastAsia="標楷體" w:hAnsi="Times New Roman" w:cs="Times New Roman" w:hint="eastAsia"/>
          <w:sz w:val="32"/>
          <w:szCs w:val="32"/>
        </w:rPr>
        <w:t>非控制權益？</w:t>
      </w:r>
    </w:p>
    <w:p w:rsidR="002141F9" w:rsidRPr="002141F9" w:rsidRDefault="002141F9"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Pr>
          <w:rFonts w:ascii="Times New Roman" w:eastAsia="標楷體" w:hAnsi="Times New Roman" w:cs="Times New Roman" w:hint="eastAsia"/>
          <w:sz w:val="32"/>
          <w:szCs w:val="32"/>
        </w:rPr>
        <w:t>分析：</w:t>
      </w:r>
      <w:r w:rsidRPr="002141F9">
        <w:rPr>
          <w:rFonts w:ascii="Times New Roman" w:eastAsia="標楷體" w:hAnsi="Times New Roman" w:cs="Times New Roman" w:hint="eastAsia"/>
          <w:sz w:val="32"/>
          <w:szCs w:val="32"/>
        </w:rPr>
        <w:t>由於與</w:t>
      </w:r>
      <w:r w:rsidRPr="002141F9">
        <w:rPr>
          <w:rFonts w:ascii="Times New Roman" w:eastAsia="標楷體" w:hAnsi="Times New Roman" w:cs="Times New Roman" w:hint="eastAsia"/>
          <w:sz w:val="32"/>
          <w:szCs w:val="32"/>
        </w:rPr>
        <w:t>S</w:t>
      </w:r>
      <w:r w:rsidRPr="002141F9">
        <w:rPr>
          <w:rFonts w:ascii="Times New Roman" w:eastAsia="標楷體" w:hAnsi="Times New Roman" w:cs="Times New Roman" w:hint="eastAsia"/>
          <w:sz w:val="32"/>
          <w:szCs w:val="32"/>
        </w:rPr>
        <w:t>公司特別股有關之</w:t>
      </w:r>
      <w:r w:rsidR="00E91C6E">
        <w:rPr>
          <w:rFonts w:ascii="Times New Roman" w:eastAsia="標楷體" w:hAnsi="Times New Roman" w:cs="Times New Roman" w:hint="eastAsia"/>
          <w:sz w:val="32"/>
          <w:szCs w:val="32"/>
        </w:rPr>
        <w:t>非控制權益，並無</w:t>
      </w:r>
      <w:r w:rsidRPr="002141F9">
        <w:rPr>
          <w:rFonts w:ascii="Times New Roman" w:eastAsia="標楷體" w:hAnsi="Times New Roman" w:cs="Times New Roman" w:hint="eastAsia"/>
          <w:sz w:val="32"/>
          <w:szCs w:val="32"/>
        </w:rPr>
        <w:t>權利可以在</w:t>
      </w:r>
      <w:r w:rsidRPr="002141F9">
        <w:rPr>
          <w:rFonts w:ascii="Times New Roman" w:eastAsia="標楷體" w:hAnsi="Times New Roman" w:cs="Times New Roman" w:hint="eastAsia"/>
          <w:sz w:val="32"/>
          <w:szCs w:val="32"/>
        </w:rPr>
        <w:t>S</w:t>
      </w:r>
      <w:r w:rsidRPr="002141F9">
        <w:rPr>
          <w:rFonts w:ascii="Times New Roman" w:eastAsia="標楷體" w:hAnsi="Times New Roman" w:cs="Times New Roman" w:hint="eastAsia"/>
          <w:sz w:val="32"/>
          <w:szCs w:val="32"/>
        </w:rPr>
        <w:t>公司清算發生時按比例份額享有企業淨資產，該等特別股不符合</w:t>
      </w:r>
      <w:r w:rsidRPr="002141F9">
        <w:rPr>
          <w:rFonts w:ascii="Times New Roman" w:eastAsia="標楷體" w:hAnsi="Times New Roman" w:cs="Times New Roman" w:hint="eastAsia"/>
          <w:sz w:val="32"/>
          <w:szCs w:val="32"/>
        </w:rPr>
        <w:t>IFRS 3</w:t>
      </w:r>
      <w:r w:rsidRPr="002141F9">
        <w:rPr>
          <w:rFonts w:ascii="Times New Roman" w:eastAsia="標楷體" w:hAnsi="Times New Roman" w:cs="Times New Roman" w:hint="eastAsia"/>
          <w:sz w:val="32"/>
          <w:szCs w:val="32"/>
        </w:rPr>
        <w:t>第</w:t>
      </w:r>
      <w:r w:rsidRPr="002141F9">
        <w:rPr>
          <w:rFonts w:ascii="Times New Roman" w:eastAsia="標楷體" w:hAnsi="Times New Roman" w:cs="Times New Roman" w:hint="eastAsia"/>
          <w:sz w:val="32"/>
          <w:szCs w:val="32"/>
        </w:rPr>
        <w:t>19</w:t>
      </w:r>
      <w:r w:rsidRPr="002141F9">
        <w:rPr>
          <w:rFonts w:ascii="Times New Roman" w:eastAsia="標楷體" w:hAnsi="Times New Roman" w:cs="Times New Roman" w:hint="eastAsia"/>
          <w:sz w:val="32"/>
          <w:szCs w:val="32"/>
        </w:rPr>
        <w:t>段中可選擇</w:t>
      </w:r>
      <w:r w:rsidR="00E91C6E">
        <w:rPr>
          <w:rFonts w:ascii="Times New Roman" w:eastAsia="標楷體" w:hAnsi="Times New Roman" w:cs="Times New Roman" w:hint="eastAsia"/>
          <w:sz w:val="32"/>
          <w:szCs w:val="32"/>
        </w:rPr>
        <w:t>非控制權益</w:t>
      </w:r>
      <w:r w:rsidRPr="002141F9">
        <w:rPr>
          <w:rFonts w:ascii="Times New Roman" w:eastAsia="標楷體" w:hAnsi="Times New Roman" w:cs="Times New Roman" w:hint="eastAsia"/>
          <w:sz w:val="32"/>
          <w:szCs w:val="32"/>
        </w:rPr>
        <w:t>衡量方式之規定，收購者應按特別股於收購日之公允價值</w:t>
      </w:r>
      <w:r w:rsidRPr="002141F9">
        <w:rPr>
          <w:rFonts w:ascii="Times New Roman" w:eastAsia="標楷體" w:hAnsi="Times New Roman" w:cs="Times New Roman" w:hint="eastAsia"/>
          <w:sz w:val="32"/>
          <w:szCs w:val="32"/>
        </w:rPr>
        <w:t>CU120</w:t>
      </w:r>
      <w:r w:rsidRPr="002141F9">
        <w:rPr>
          <w:rFonts w:ascii="Times New Roman" w:eastAsia="標楷體" w:hAnsi="Times New Roman" w:cs="Times New Roman" w:hint="eastAsia"/>
          <w:sz w:val="32"/>
          <w:szCs w:val="32"/>
        </w:rPr>
        <w:t>作為衡量金額。</w:t>
      </w:r>
    </w:p>
    <w:p w:rsidR="00690213" w:rsidRPr="00DC38C7" w:rsidRDefault="002F10EF" w:rsidP="002F10EF">
      <w:pPr>
        <w:pStyle w:val="a7"/>
        <w:numPr>
          <w:ilvl w:val="0"/>
          <w:numId w:val="6"/>
        </w:numPr>
        <w:spacing w:before="100" w:beforeAutospacing="1" w:after="100" w:afterAutospacing="1" w:line="400" w:lineRule="exact"/>
        <w:ind w:leftChars="0"/>
        <w:rPr>
          <w:rFonts w:ascii="Times New Roman" w:eastAsia="標楷體" w:hAnsi="Times New Roman" w:cs="Times New Roman"/>
          <w:sz w:val="32"/>
          <w:szCs w:val="32"/>
        </w:rPr>
      </w:pPr>
      <w:r w:rsidRPr="00DC38C7">
        <w:rPr>
          <w:rFonts w:ascii="Times New Roman" w:eastAsia="標楷體" w:hAnsi="Times New Roman" w:cs="Times New Roman"/>
          <w:sz w:val="32"/>
          <w:szCs w:val="32"/>
        </w:rPr>
        <w:t>非控制權益之所有其他組成部分種類及其衡量</w:t>
      </w:r>
    </w:p>
    <w:p w:rsidR="002F10EF" w:rsidRDefault="00E91C6E"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Pr>
          <w:rFonts w:ascii="Times New Roman" w:eastAsia="標楷體" w:hAnsi="Times New Roman" w:cs="Times New Roman"/>
          <w:noProof/>
          <w:sz w:val="32"/>
          <w:szCs w:val="32"/>
        </w:rPr>
        <w:drawing>
          <wp:anchor distT="0" distB="0" distL="114300" distR="114300" simplePos="0" relativeHeight="251659264" behindDoc="0" locked="0" layoutInCell="1" allowOverlap="1">
            <wp:simplePos x="0" y="0"/>
            <wp:positionH relativeFrom="column">
              <wp:posOffset>715010</wp:posOffset>
            </wp:positionH>
            <wp:positionV relativeFrom="paragraph">
              <wp:posOffset>3489325</wp:posOffset>
            </wp:positionV>
            <wp:extent cx="4780915" cy="3082925"/>
            <wp:effectExtent l="19050" t="0" r="635" b="0"/>
            <wp:wrapThrough wrapText="bothSides">
              <wp:wrapPolygon edited="0">
                <wp:start x="-86" y="0"/>
                <wp:lineTo x="-86" y="21489"/>
                <wp:lineTo x="21603" y="21489"/>
                <wp:lineTo x="21603" y="0"/>
                <wp:lineTo x="-86" y="0"/>
              </wp:wrapPolygon>
            </wp:wrapThrough>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780915" cy="3082925"/>
                    </a:xfrm>
                    <a:prstGeom prst="rect">
                      <a:avLst/>
                    </a:prstGeom>
                    <a:noFill/>
                    <a:ln w="9525">
                      <a:noFill/>
                      <a:miter lim="800000"/>
                      <a:headEnd/>
                      <a:tailEnd/>
                    </a:ln>
                  </pic:spPr>
                </pic:pic>
              </a:graphicData>
            </a:graphic>
          </wp:anchor>
        </w:drawing>
      </w:r>
      <w:r w:rsidR="002F10EF" w:rsidRPr="00DC38C7">
        <w:rPr>
          <w:rFonts w:ascii="Times New Roman" w:eastAsia="標楷體" w:hAnsi="Times New Roman" w:cs="Times New Roman"/>
          <w:sz w:val="32"/>
          <w:szCs w:val="32"/>
        </w:rPr>
        <w:t>非控制權益之所有其他組成部分包括子公司所發行之可轉換公司債權益組成部分、特別股</w:t>
      </w:r>
      <w:r w:rsidR="00EB37AA">
        <w:rPr>
          <w:rFonts w:ascii="Times New Roman" w:eastAsia="標楷體" w:hAnsi="Times New Roman" w:cs="Times New Roman" w:hint="eastAsia"/>
          <w:sz w:val="32"/>
          <w:szCs w:val="32"/>
        </w:rPr>
        <w:t>（請詳第</w:t>
      </w:r>
      <w:r w:rsidR="00EB37AA">
        <w:rPr>
          <w:rFonts w:ascii="Times New Roman" w:eastAsia="標楷體" w:hAnsi="Times New Roman" w:cs="Times New Roman" w:hint="eastAsia"/>
          <w:sz w:val="32"/>
          <w:szCs w:val="32"/>
        </w:rPr>
        <w:t>1</w:t>
      </w:r>
      <w:r w:rsidR="00EB37AA">
        <w:rPr>
          <w:rFonts w:ascii="Times New Roman" w:eastAsia="標楷體" w:hAnsi="Times New Roman" w:cs="Times New Roman" w:hint="eastAsia"/>
          <w:sz w:val="32"/>
          <w:szCs w:val="32"/>
        </w:rPr>
        <w:t>點之釋例</w:t>
      </w:r>
      <w:r w:rsidR="00EB37AA">
        <w:rPr>
          <w:rFonts w:ascii="Times New Roman" w:eastAsia="標楷體" w:hAnsi="Times New Roman" w:cs="Times New Roman" w:hint="eastAsia"/>
          <w:sz w:val="32"/>
          <w:szCs w:val="32"/>
        </w:rPr>
        <w:t>1</w:t>
      </w:r>
      <w:r w:rsidR="00EB37AA">
        <w:rPr>
          <w:rFonts w:ascii="Times New Roman" w:eastAsia="標楷體" w:hAnsi="Times New Roman" w:cs="Times New Roman" w:hint="eastAsia"/>
          <w:sz w:val="32"/>
          <w:szCs w:val="32"/>
        </w:rPr>
        <w:t>及釋例</w:t>
      </w:r>
      <w:r w:rsidR="00EB37AA">
        <w:rPr>
          <w:rFonts w:ascii="Times New Roman" w:eastAsia="標楷體" w:hAnsi="Times New Roman" w:cs="Times New Roman" w:hint="eastAsia"/>
          <w:sz w:val="32"/>
          <w:szCs w:val="32"/>
        </w:rPr>
        <w:t>3</w:t>
      </w:r>
      <w:r w:rsidR="00EB37AA">
        <w:rPr>
          <w:rFonts w:ascii="Times New Roman" w:eastAsia="標楷體" w:hAnsi="Times New Roman" w:cs="Times New Roman" w:hint="eastAsia"/>
          <w:sz w:val="32"/>
          <w:szCs w:val="32"/>
        </w:rPr>
        <w:t>）</w:t>
      </w:r>
      <w:r w:rsidR="002F10EF" w:rsidRPr="00DC38C7">
        <w:rPr>
          <w:rFonts w:ascii="Times New Roman" w:eastAsia="標楷體" w:hAnsi="Times New Roman" w:cs="Times New Roman"/>
          <w:sz w:val="32"/>
          <w:szCs w:val="32"/>
        </w:rPr>
        <w:t>或股份基礎給付協議下之認股權等。可轉換公司債權益組成部分及特別股之公允價值衡量應依國際財務報導準則第</w:t>
      </w:r>
      <w:r w:rsidR="002F10EF" w:rsidRPr="00DC38C7">
        <w:rPr>
          <w:rFonts w:ascii="Times New Roman" w:eastAsia="標楷體" w:hAnsi="Times New Roman" w:cs="Times New Roman"/>
          <w:sz w:val="32"/>
          <w:szCs w:val="32"/>
        </w:rPr>
        <w:t>13</w:t>
      </w:r>
      <w:r w:rsidR="002F10EF" w:rsidRPr="00DC38C7">
        <w:rPr>
          <w:rFonts w:ascii="Times New Roman" w:eastAsia="標楷體" w:hAnsi="Times New Roman" w:cs="Times New Roman"/>
          <w:sz w:val="32"/>
          <w:szCs w:val="32"/>
        </w:rPr>
        <w:t>號「公允價值衡量」處理，實務常見評價方式可參考「</w:t>
      </w:r>
      <w:hyperlink r:id="rId10" w:history="1">
        <w:r w:rsidR="002F10EF" w:rsidRPr="00DC38C7">
          <w:rPr>
            <w:rStyle w:val="aa"/>
            <w:rFonts w:ascii="Times New Roman" w:eastAsia="標楷體" w:hAnsi="Times New Roman" w:cs="Times New Roman"/>
            <w:sz w:val="32"/>
            <w:szCs w:val="32"/>
          </w:rPr>
          <w:t>全面採用國際財務報導準則個案研究計畫</w:t>
        </w:r>
      </w:hyperlink>
      <w:r w:rsidR="002F10EF" w:rsidRPr="00DC38C7">
        <w:rPr>
          <w:rFonts w:ascii="Times New Roman" w:eastAsia="標楷體" w:hAnsi="Times New Roman" w:cs="Times New Roman"/>
          <w:sz w:val="32"/>
          <w:szCs w:val="32"/>
        </w:rPr>
        <w:t>」第</w:t>
      </w:r>
      <w:r w:rsidR="002F10EF" w:rsidRPr="00DC38C7">
        <w:rPr>
          <w:rFonts w:ascii="Times New Roman" w:eastAsia="標楷體" w:hAnsi="Times New Roman" w:cs="Times New Roman"/>
          <w:sz w:val="32"/>
          <w:szCs w:val="32"/>
        </w:rPr>
        <w:t>70</w:t>
      </w:r>
      <w:r w:rsidR="002F10EF" w:rsidRPr="00DC38C7">
        <w:rPr>
          <w:rFonts w:ascii="Times New Roman" w:eastAsia="標楷體" w:hAnsi="Times New Roman" w:cs="Times New Roman"/>
          <w:sz w:val="32"/>
          <w:szCs w:val="32"/>
        </w:rPr>
        <w:t>至</w:t>
      </w:r>
      <w:r w:rsidR="002F10EF" w:rsidRPr="00DC38C7">
        <w:rPr>
          <w:rFonts w:ascii="Times New Roman" w:eastAsia="標楷體" w:hAnsi="Times New Roman" w:cs="Times New Roman"/>
          <w:sz w:val="32"/>
          <w:szCs w:val="32"/>
        </w:rPr>
        <w:t>82</w:t>
      </w:r>
      <w:r w:rsidR="002F10EF" w:rsidRPr="00DC38C7">
        <w:rPr>
          <w:rFonts w:ascii="Times New Roman" w:eastAsia="標楷體" w:hAnsi="Times New Roman" w:cs="Times New Roman"/>
          <w:sz w:val="32"/>
          <w:szCs w:val="32"/>
        </w:rPr>
        <w:t>頁及「</w:t>
      </w:r>
      <w:hyperlink r:id="rId11" w:history="1">
        <w:r w:rsidR="002F10EF" w:rsidRPr="00DC38C7">
          <w:rPr>
            <w:rStyle w:val="aa"/>
            <w:rFonts w:ascii="Times New Roman" w:eastAsia="標楷體" w:hAnsi="Times New Roman" w:cs="Times New Roman"/>
            <w:sz w:val="32"/>
            <w:szCs w:val="32"/>
          </w:rPr>
          <w:t>解決導入公平價值會計之問題專案研究</w:t>
        </w:r>
      </w:hyperlink>
      <w:r w:rsidR="002F10EF" w:rsidRPr="00DC38C7">
        <w:rPr>
          <w:rFonts w:ascii="Times New Roman" w:eastAsia="標楷體" w:hAnsi="Times New Roman" w:cs="Times New Roman"/>
          <w:sz w:val="32"/>
          <w:szCs w:val="32"/>
        </w:rPr>
        <w:t>」第</w:t>
      </w:r>
      <w:r w:rsidR="002F10EF" w:rsidRPr="00DC38C7">
        <w:rPr>
          <w:rFonts w:ascii="Times New Roman" w:eastAsia="標楷體" w:hAnsi="Times New Roman" w:cs="Times New Roman"/>
          <w:sz w:val="32"/>
          <w:szCs w:val="32"/>
        </w:rPr>
        <w:t>4-35</w:t>
      </w:r>
      <w:r w:rsidR="002F10EF" w:rsidRPr="00DC38C7">
        <w:rPr>
          <w:rFonts w:ascii="Times New Roman" w:eastAsia="標楷體" w:hAnsi="Times New Roman" w:cs="Times New Roman"/>
          <w:sz w:val="32"/>
          <w:szCs w:val="32"/>
        </w:rPr>
        <w:t>至</w:t>
      </w:r>
      <w:r w:rsidR="002F10EF" w:rsidRPr="00DC38C7">
        <w:rPr>
          <w:rFonts w:ascii="Times New Roman" w:eastAsia="標楷體" w:hAnsi="Times New Roman" w:cs="Times New Roman"/>
          <w:sz w:val="32"/>
          <w:szCs w:val="32"/>
        </w:rPr>
        <w:t>4-38</w:t>
      </w:r>
      <w:r w:rsidR="002F10EF" w:rsidRPr="00DC38C7">
        <w:rPr>
          <w:rFonts w:ascii="Times New Roman" w:eastAsia="標楷體" w:hAnsi="Times New Roman" w:cs="Times New Roman"/>
          <w:sz w:val="32"/>
          <w:szCs w:val="32"/>
        </w:rPr>
        <w:t>頁。股份基礎給付協議下之認股權（例如員工認股權）之公允價值衡量應依國際財務報導準則第</w:t>
      </w:r>
      <w:r w:rsidR="002F10EF" w:rsidRPr="00DC38C7">
        <w:rPr>
          <w:rFonts w:ascii="Times New Roman" w:eastAsia="標楷體" w:hAnsi="Times New Roman" w:cs="Times New Roman"/>
          <w:sz w:val="32"/>
          <w:szCs w:val="32"/>
        </w:rPr>
        <w:t>2</w:t>
      </w:r>
      <w:r w:rsidR="002F10EF" w:rsidRPr="00DC38C7">
        <w:rPr>
          <w:rFonts w:ascii="Times New Roman" w:eastAsia="標楷體" w:hAnsi="Times New Roman" w:cs="Times New Roman"/>
          <w:sz w:val="32"/>
          <w:szCs w:val="32"/>
        </w:rPr>
        <w:t>號「股份基礎給付」</w:t>
      </w:r>
      <w:r w:rsidR="005C2763">
        <w:rPr>
          <w:rFonts w:ascii="Times New Roman" w:eastAsia="標楷體" w:hAnsi="Times New Roman" w:cs="Times New Roman" w:hint="eastAsia"/>
          <w:sz w:val="32"/>
          <w:szCs w:val="32"/>
        </w:rPr>
        <w:t>（以下稱</w:t>
      </w:r>
      <w:r w:rsidR="005C2763">
        <w:rPr>
          <w:rFonts w:ascii="Times New Roman" w:eastAsia="標楷體" w:hAnsi="Times New Roman" w:cs="Times New Roman" w:hint="eastAsia"/>
          <w:sz w:val="32"/>
          <w:szCs w:val="32"/>
        </w:rPr>
        <w:t>IFRS 2</w:t>
      </w:r>
      <w:r w:rsidR="0083319A">
        <w:rPr>
          <w:rFonts w:ascii="Times New Roman" w:eastAsia="標楷體" w:hAnsi="Times New Roman" w:cs="Times New Roman" w:hint="eastAsia"/>
          <w:sz w:val="32"/>
          <w:szCs w:val="32"/>
        </w:rPr>
        <w:t>）</w:t>
      </w:r>
      <w:r w:rsidR="002F10EF" w:rsidRPr="00DC38C7">
        <w:rPr>
          <w:rFonts w:ascii="Times New Roman" w:eastAsia="標楷體" w:hAnsi="Times New Roman" w:cs="Times New Roman"/>
          <w:sz w:val="32"/>
          <w:szCs w:val="32"/>
        </w:rPr>
        <w:t>規定</w:t>
      </w:r>
      <w:proofErr w:type="gramStart"/>
      <w:r w:rsidR="002F10EF" w:rsidRPr="00DC38C7">
        <w:rPr>
          <w:rFonts w:ascii="Times New Roman" w:eastAsia="標楷體" w:hAnsi="Times New Roman" w:cs="Times New Roman"/>
          <w:sz w:val="32"/>
          <w:szCs w:val="32"/>
        </w:rPr>
        <w:t>採</w:t>
      </w:r>
      <w:proofErr w:type="gramEnd"/>
      <w:r w:rsidR="002F10EF" w:rsidRPr="00DC38C7">
        <w:rPr>
          <w:rFonts w:ascii="Times New Roman" w:eastAsia="標楷體" w:hAnsi="Times New Roman" w:cs="Times New Roman"/>
          <w:sz w:val="32"/>
          <w:szCs w:val="32"/>
        </w:rPr>
        <w:t>市場基礎衡量，</w:t>
      </w:r>
      <w:r w:rsidR="00A41277">
        <w:rPr>
          <w:rFonts w:ascii="Times New Roman" w:eastAsia="標楷體" w:hAnsi="Times New Roman" w:cs="Times New Roman" w:hint="eastAsia"/>
          <w:sz w:val="32"/>
          <w:szCs w:val="32"/>
        </w:rPr>
        <w:t>其衡量</w:t>
      </w:r>
      <w:r w:rsidR="002F10EF" w:rsidRPr="00DC38C7">
        <w:rPr>
          <w:rFonts w:ascii="Times New Roman" w:eastAsia="標楷體" w:hAnsi="Times New Roman" w:cs="Times New Roman"/>
          <w:sz w:val="32"/>
          <w:szCs w:val="32"/>
        </w:rPr>
        <w:t>應參考該準則之附錄</w:t>
      </w:r>
      <w:r w:rsidR="002F10EF" w:rsidRPr="00DC38C7">
        <w:rPr>
          <w:rFonts w:ascii="Times New Roman" w:eastAsia="標楷體" w:hAnsi="Times New Roman" w:cs="Times New Roman"/>
          <w:sz w:val="32"/>
          <w:szCs w:val="32"/>
        </w:rPr>
        <w:t>B</w:t>
      </w:r>
      <w:r w:rsidR="002F10EF" w:rsidRPr="00DC38C7">
        <w:rPr>
          <w:rFonts w:ascii="Times New Roman" w:eastAsia="標楷體" w:hAnsi="Times New Roman" w:cs="Times New Roman"/>
          <w:sz w:val="32"/>
          <w:szCs w:val="32"/>
        </w:rPr>
        <w:t>第</w:t>
      </w:r>
      <w:r w:rsidR="002F10EF" w:rsidRPr="00DC38C7">
        <w:rPr>
          <w:rFonts w:ascii="Times New Roman" w:eastAsia="標楷體" w:hAnsi="Times New Roman" w:cs="Times New Roman"/>
          <w:sz w:val="32"/>
          <w:szCs w:val="32"/>
        </w:rPr>
        <w:t>B1</w:t>
      </w:r>
      <w:r w:rsidR="002F10EF" w:rsidRPr="00DC38C7">
        <w:rPr>
          <w:rFonts w:ascii="Times New Roman" w:eastAsia="標楷體" w:hAnsi="Times New Roman" w:cs="Times New Roman"/>
          <w:sz w:val="32"/>
          <w:szCs w:val="32"/>
        </w:rPr>
        <w:t>至</w:t>
      </w:r>
      <w:r w:rsidR="002F10EF" w:rsidRPr="00DC38C7">
        <w:rPr>
          <w:rFonts w:ascii="Times New Roman" w:eastAsia="標楷體" w:hAnsi="Times New Roman" w:cs="Times New Roman"/>
          <w:sz w:val="32"/>
          <w:szCs w:val="32"/>
        </w:rPr>
        <w:t>B41</w:t>
      </w:r>
      <w:r w:rsidR="0083319A">
        <w:rPr>
          <w:rFonts w:ascii="Times New Roman" w:eastAsia="標楷體" w:hAnsi="Times New Roman" w:cs="Times New Roman"/>
          <w:sz w:val="32"/>
          <w:szCs w:val="32"/>
        </w:rPr>
        <w:t>段</w:t>
      </w:r>
      <w:r w:rsidR="0083319A">
        <w:rPr>
          <w:rFonts w:ascii="Times New Roman" w:eastAsia="標楷體" w:hAnsi="Times New Roman" w:cs="Times New Roman" w:hint="eastAsia"/>
          <w:sz w:val="32"/>
          <w:szCs w:val="32"/>
        </w:rPr>
        <w:t>，相關指引</w:t>
      </w:r>
      <w:r w:rsidR="002F10EF" w:rsidRPr="00DC38C7">
        <w:rPr>
          <w:rFonts w:ascii="Times New Roman" w:eastAsia="標楷體" w:hAnsi="Times New Roman" w:cs="Times New Roman"/>
          <w:sz w:val="32"/>
          <w:szCs w:val="32"/>
        </w:rPr>
        <w:t>請詳第</w:t>
      </w:r>
      <w:r w:rsidR="008F4EFD" w:rsidRPr="00DC38C7">
        <w:rPr>
          <w:rFonts w:ascii="Times New Roman" w:eastAsia="標楷體" w:hAnsi="Times New Roman" w:cs="Times New Roman"/>
          <w:sz w:val="32"/>
          <w:szCs w:val="32"/>
        </w:rPr>
        <w:t>3</w:t>
      </w:r>
      <w:r w:rsidR="008F4EFD" w:rsidRPr="00DC38C7">
        <w:rPr>
          <w:rFonts w:ascii="Times New Roman" w:eastAsia="標楷體" w:hAnsi="Times New Roman" w:cs="Times New Roman"/>
          <w:sz w:val="32"/>
          <w:szCs w:val="32"/>
        </w:rPr>
        <w:t>點</w:t>
      </w:r>
      <w:r w:rsidR="0083319A">
        <w:rPr>
          <w:rFonts w:ascii="Times New Roman" w:eastAsia="標楷體" w:hAnsi="Times New Roman" w:cs="Times New Roman"/>
          <w:sz w:val="32"/>
          <w:szCs w:val="32"/>
        </w:rPr>
        <w:t>之說明</w:t>
      </w:r>
      <w:r w:rsidR="002F10EF" w:rsidRPr="00DC38C7">
        <w:rPr>
          <w:rFonts w:ascii="Times New Roman" w:eastAsia="標楷體" w:hAnsi="Times New Roman" w:cs="Times New Roman"/>
          <w:sz w:val="32"/>
          <w:szCs w:val="32"/>
        </w:rPr>
        <w:t>。</w:t>
      </w:r>
      <w:r>
        <w:rPr>
          <w:rFonts w:ascii="Times New Roman" w:eastAsia="標楷體" w:hAnsi="Times New Roman" w:cs="Times New Roman" w:hint="eastAsia"/>
          <w:sz w:val="32"/>
          <w:szCs w:val="32"/>
        </w:rPr>
        <w:t>前開說明之圖示如下：</w:t>
      </w:r>
    </w:p>
    <w:p w:rsidR="00E91C6E" w:rsidRDefault="00E91C6E" w:rsidP="002F10EF">
      <w:pPr>
        <w:pStyle w:val="a7"/>
        <w:spacing w:before="100" w:beforeAutospacing="1" w:after="100" w:afterAutospacing="1" w:line="400" w:lineRule="exact"/>
        <w:ind w:leftChars="0" w:left="1068"/>
        <w:rPr>
          <w:rFonts w:ascii="Times New Roman" w:eastAsia="標楷體" w:hAnsi="Times New Roman" w:cs="Times New Roman"/>
          <w:sz w:val="32"/>
          <w:szCs w:val="32"/>
        </w:rPr>
      </w:pPr>
    </w:p>
    <w:p w:rsidR="00A51154" w:rsidRPr="00DC38C7" w:rsidRDefault="00A51154" w:rsidP="002F10EF">
      <w:pPr>
        <w:pStyle w:val="a7"/>
        <w:spacing w:before="100" w:beforeAutospacing="1" w:after="100" w:afterAutospacing="1" w:line="400" w:lineRule="exact"/>
        <w:ind w:leftChars="0" w:left="1068"/>
        <w:rPr>
          <w:rFonts w:ascii="Times New Roman" w:eastAsia="標楷體" w:hAnsi="Times New Roman" w:cs="Times New Roman"/>
          <w:sz w:val="32"/>
          <w:szCs w:val="32"/>
        </w:rPr>
      </w:pPr>
    </w:p>
    <w:p w:rsidR="00E91C6E" w:rsidRPr="00E91C6E" w:rsidRDefault="00E91C6E" w:rsidP="00E91C6E">
      <w:pPr>
        <w:rPr>
          <w:rFonts w:ascii="標楷體" w:eastAsia="標楷體" w:hAnsi="標楷體"/>
          <w:sz w:val="32"/>
          <w:szCs w:val="32"/>
        </w:rPr>
      </w:pPr>
    </w:p>
    <w:p w:rsidR="00E91C6E" w:rsidRPr="00E91C6E" w:rsidRDefault="00E91C6E" w:rsidP="00E91C6E">
      <w:pPr>
        <w:rPr>
          <w:rFonts w:ascii="標楷體" w:eastAsia="標楷體" w:hAnsi="標楷體"/>
          <w:sz w:val="32"/>
          <w:szCs w:val="32"/>
        </w:rPr>
      </w:pPr>
    </w:p>
    <w:p w:rsidR="00853DC3" w:rsidRPr="00E91C6E" w:rsidRDefault="0083319A" w:rsidP="00E91C6E">
      <w:pPr>
        <w:pStyle w:val="a7"/>
        <w:numPr>
          <w:ilvl w:val="0"/>
          <w:numId w:val="6"/>
        </w:numPr>
        <w:spacing w:before="100" w:beforeAutospacing="1" w:after="100" w:afterAutospacing="1" w:line="400" w:lineRule="exact"/>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IFRS 2</w:t>
      </w:r>
      <w:r w:rsidR="002574EC">
        <w:rPr>
          <w:rFonts w:ascii="Times New Roman" w:eastAsia="標楷體" w:hAnsi="Times New Roman" w:cs="Times New Roman" w:hint="eastAsia"/>
          <w:sz w:val="32"/>
          <w:szCs w:val="32"/>
        </w:rPr>
        <w:t>公允價值衡量</w:t>
      </w:r>
      <w:r w:rsidR="00E91C6E" w:rsidRPr="00E91C6E">
        <w:rPr>
          <w:rFonts w:ascii="Times New Roman" w:eastAsia="標楷體" w:hAnsi="Times New Roman" w:cs="Times New Roman" w:hint="eastAsia"/>
          <w:sz w:val="32"/>
          <w:szCs w:val="32"/>
        </w:rPr>
        <w:t>相關指引：</w:t>
      </w:r>
    </w:p>
    <w:p w:rsidR="00BE3F12" w:rsidRPr="00BE3F12" w:rsidRDefault="00BE3F12" w:rsidP="00BE3F12">
      <w:pPr>
        <w:pStyle w:val="a7"/>
        <w:spacing w:before="100" w:beforeAutospacing="1" w:after="100" w:afterAutospacing="1" w:line="400" w:lineRule="exact"/>
        <w:ind w:leftChars="0" w:left="1068"/>
        <w:rPr>
          <w:rFonts w:ascii="Times New Roman" w:eastAsia="標楷體" w:hAnsi="Times New Roman" w:cs="Times New Roman"/>
          <w:sz w:val="32"/>
          <w:szCs w:val="32"/>
          <w:u w:val="single"/>
        </w:rPr>
      </w:pPr>
      <w:r w:rsidRPr="00BE3F12">
        <w:rPr>
          <w:rFonts w:ascii="Times New Roman" w:eastAsia="標楷體" w:hAnsi="Times New Roman" w:cs="Times New Roman"/>
          <w:sz w:val="32"/>
          <w:szCs w:val="32"/>
          <w:u w:val="single"/>
        </w:rPr>
        <w:t>決定給與權益工具之公允價值</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企業與員工間之股份基礎給付交易，應以所給與權益工具之公允價值衡量。所給與權益工具之公允價值，應依下列方式決定：</w:t>
      </w:r>
    </w:p>
    <w:p w:rsidR="00BE3F12" w:rsidRPr="00BE3F12" w:rsidRDefault="00BE3F12" w:rsidP="00BE3F12">
      <w:pPr>
        <w:numPr>
          <w:ilvl w:val="0"/>
          <w:numId w:val="14"/>
        </w:numPr>
        <w:tabs>
          <w:tab w:val="num" w:pos="759"/>
        </w:tabs>
        <w:spacing w:before="100" w:beforeAutospacing="1" w:after="100" w:afterAutospacing="1" w:line="400" w:lineRule="exact"/>
        <w:ind w:leftChars="472" w:left="1417" w:hanging="284"/>
        <w:rPr>
          <w:rFonts w:ascii="Times New Roman" w:eastAsia="標楷體" w:hAnsi="Times New Roman" w:cs="Times New Roman"/>
          <w:sz w:val="32"/>
          <w:szCs w:val="32"/>
        </w:rPr>
      </w:pPr>
      <w:r w:rsidRPr="00BE3F12">
        <w:rPr>
          <w:rFonts w:ascii="Times New Roman" w:eastAsia="標楷體" w:hAnsi="Times New Roman" w:cs="Times New Roman"/>
          <w:sz w:val="32"/>
          <w:szCs w:val="32"/>
        </w:rPr>
        <w:t>如所給與權益工具有可參考之市價，則依該市價估計公允價值。</w:t>
      </w:r>
    </w:p>
    <w:p w:rsidR="00BE3F12" w:rsidRPr="00BE3F12" w:rsidRDefault="00BE3F12" w:rsidP="00BE3F12">
      <w:pPr>
        <w:numPr>
          <w:ilvl w:val="0"/>
          <w:numId w:val="14"/>
        </w:numPr>
        <w:tabs>
          <w:tab w:val="num" w:pos="759"/>
        </w:tabs>
        <w:spacing w:before="100" w:beforeAutospacing="1" w:after="100" w:afterAutospacing="1" w:line="400" w:lineRule="exact"/>
        <w:ind w:leftChars="472" w:left="1417" w:hanging="284"/>
        <w:rPr>
          <w:rFonts w:ascii="Times New Roman" w:eastAsia="標楷體" w:hAnsi="Times New Roman" w:cs="Times New Roman"/>
          <w:sz w:val="32"/>
          <w:szCs w:val="32"/>
        </w:rPr>
      </w:pPr>
      <w:r w:rsidRPr="00BE3F12">
        <w:rPr>
          <w:rFonts w:ascii="Times New Roman" w:eastAsia="標楷體" w:hAnsi="Times New Roman" w:cs="Times New Roman"/>
          <w:sz w:val="32"/>
          <w:szCs w:val="32"/>
        </w:rPr>
        <w:t>如所給與權益工具無可參考之市價，則依評價技術估計公允價值。</w:t>
      </w:r>
    </w:p>
    <w:p w:rsidR="00BE3F12" w:rsidRPr="00BE3F12" w:rsidRDefault="00BE3F12" w:rsidP="00BE3F12">
      <w:pPr>
        <w:pStyle w:val="a7"/>
        <w:spacing w:before="100" w:beforeAutospacing="1" w:after="100" w:afterAutospacing="1" w:line="400" w:lineRule="exact"/>
        <w:ind w:leftChars="0" w:left="1068"/>
        <w:rPr>
          <w:rFonts w:ascii="Times New Roman" w:eastAsia="標楷體" w:hAnsi="Times New Roman" w:cs="Times New Roman"/>
          <w:sz w:val="32"/>
          <w:szCs w:val="32"/>
          <w:u w:val="single"/>
        </w:rPr>
      </w:pPr>
      <w:r w:rsidRPr="00BE3F12">
        <w:rPr>
          <w:rFonts w:ascii="Times New Roman" w:eastAsia="標楷體" w:hAnsi="Times New Roman" w:cs="Times New Roman"/>
          <w:sz w:val="32"/>
          <w:szCs w:val="32"/>
          <w:u w:val="single"/>
        </w:rPr>
        <w:t>無市價紀錄可循之情形</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在許多情形下，所給與員工之權益工具因其條款及條件通常與於市場中交易之部分不同，故並無市價存在</w:t>
      </w:r>
      <w:r w:rsidR="002747F6">
        <w:rPr>
          <w:rFonts w:ascii="Times New Roman" w:eastAsia="標楷體" w:hAnsi="Times New Roman" w:cs="Times New Roman" w:hint="eastAsia"/>
          <w:sz w:val="32"/>
          <w:szCs w:val="32"/>
        </w:rPr>
        <w:t>（</w:t>
      </w:r>
      <w:r w:rsidRPr="00BE3F12">
        <w:rPr>
          <w:rFonts w:ascii="Times New Roman" w:eastAsia="標楷體" w:hAnsi="Times New Roman" w:cs="Times New Roman"/>
          <w:sz w:val="32"/>
          <w:szCs w:val="32"/>
        </w:rPr>
        <w:t>如選擇權</w:t>
      </w:r>
      <w:r w:rsidR="002747F6">
        <w:rPr>
          <w:rFonts w:ascii="Times New Roman" w:eastAsia="標楷體" w:hAnsi="Times New Roman" w:cs="Times New Roman" w:hint="eastAsia"/>
          <w:sz w:val="32"/>
          <w:szCs w:val="32"/>
        </w:rPr>
        <w:t>）</w:t>
      </w:r>
      <w:r w:rsidRPr="00BE3F12">
        <w:rPr>
          <w:rFonts w:ascii="Times New Roman" w:eastAsia="標楷體" w:hAnsi="Times New Roman" w:cs="Times New Roman"/>
          <w:sz w:val="32"/>
          <w:szCs w:val="32"/>
        </w:rPr>
        <w:t>，因此採用評價技術。評價技術需要使用一些變數，如企業之預期波動率等。如企業之權益工具未於市場交易，則可採用隱含波動率，如類似企業之權益工具於市場之實際數據。</w:t>
      </w:r>
      <w:proofErr w:type="gramStart"/>
      <w:r w:rsidRPr="00BE3F12">
        <w:rPr>
          <w:rFonts w:ascii="Times New Roman" w:eastAsia="標楷體" w:hAnsi="Times New Roman" w:cs="Times New Roman"/>
          <w:sz w:val="32"/>
          <w:szCs w:val="32"/>
        </w:rPr>
        <w:t>一</w:t>
      </w:r>
      <w:proofErr w:type="gramEnd"/>
      <w:r w:rsidRPr="00BE3F12">
        <w:rPr>
          <w:rFonts w:ascii="Times New Roman" w:eastAsia="標楷體" w:hAnsi="Times New Roman" w:cs="Times New Roman"/>
          <w:sz w:val="32"/>
          <w:szCs w:val="32"/>
        </w:rPr>
        <w:t>企業即使無歷史交易資料</w:t>
      </w:r>
      <w:r w:rsidR="002747F6">
        <w:rPr>
          <w:rFonts w:ascii="Times New Roman" w:eastAsia="標楷體" w:hAnsi="Times New Roman" w:cs="Times New Roman" w:hint="eastAsia"/>
          <w:sz w:val="32"/>
          <w:szCs w:val="32"/>
        </w:rPr>
        <w:t>（</w:t>
      </w:r>
      <w:r w:rsidRPr="00BE3F12">
        <w:rPr>
          <w:rFonts w:ascii="Times New Roman" w:eastAsia="標楷體" w:hAnsi="Times New Roman" w:cs="Times New Roman"/>
          <w:sz w:val="32"/>
          <w:szCs w:val="32"/>
        </w:rPr>
        <w:t>如新設公司</w:t>
      </w:r>
      <w:r w:rsidR="002747F6">
        <w:rPr>
          <w:rFonts w:ascii="Times New Roman" w:eastAsia="標楷體" w:hAnsi="Times New Roman" w:cs="Times New Roman" w:hint="eastAsia"/>
          <w:sz w:val="32"/>
          <w:szCs w:val="32"/>
        </w:rPr>
        <w:t>）</w:t>
      </w:r>
      <w:r w:rsidRPr="00BE3F12">
        <w:rPr>
          <w:rFonts w:ascii="Times New Roman" w:eastAsia="標楷體" w:hAnsi="Times New Roman" w:cs="Times New Roman"/>
          <w:sz w:val="32"/>
          <w:szCs w:val="32"/>
        </w:rPr>
        <w:t>亦不可將預期波動率設為零。</w:t>
      </w:r>
      <w:r w:rsidR="00E50BE5" w:rsidRPr="00BE3F12">
        <w:rPr>
          <w:rFonts w:ascii="Times New Roman" w:eastAsia="標楷體" w:hAnsi="Times New Roman" w:cs="Times New Roman"/>
          <w:sz w:val="32"/>
          <w:szCs w:val="32"/>
        </w:rPr>
        <w:t>在</w:t>
      </w:r>
      <w:r w:rsidRPr="00BE3F12">
        <w:rPr>
          <w:rFonts w:ascii="Times New Roman" w:eastAsia="標楷體" w:hAnsi="Times New Roman" w:cs="Times New Roman"/>
          <w:sz w:val="32"/>
          <w:szCs w:val="32"/>
        </w:rPr>
        <w:t>極少數情況下，如企業於給與日無法估計預期波動率，則權益工具之公允價值無法衡量；於此情況下應採用內含價值法。</w:t>
      </w:r>
    </w:p>
    <w:p w:rsidR="00BE3F12" w:rsidRPr="00BE3F12" w:rsidRDefault="00BE3F12" w:rsidP="00BE3F12">
      <w:pPr>
        <w:pStyle w:val="a7"/>
        <w:spacing w:before="100" w:beforeAutospacing="1" w:after="100" w:afterAutospacing="1" w:line="400" w:lineRule="exact"/>
        <w:ind w:leftChars="0" w:left="1068"/>
        <w:rPr>
          <w:rFonts w:ascii="Times New Roman" w:eastAsia="標楷體" w:hAnsi="Times New Roman" w:cs="Times New Roman"/>
          <w:sz w:val="32"/>
          <w:szCs w:val="32"/>
          <w:u w:val="single"/>
        </w:rPr>
      </w:pPr>
      <w:r w:rsidRPr="00BE3F12">
        <w:rPr>
          <w:rFonts w:ascii="Times New Roman" w:eastAsia="標楷體" w:hAnsi="Times New Roman" w:cs="Times New Roman"/>
          <w:sz w:val="32"/>
          <w:szCs w:val="32"/>
          <w:u w:val="single"/>
        </w:rPr>
        <w:t>既得後之限制</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既得後之限制應於給與日衡量公允價值時予以考量，考慮理性市場參與者對於同樣之限制條件願意支付之價格。例如，給與員工一年服務既得條件之股份，於既得後員工可無條件取得股份，惟員工於既得後五年不得出售股份。五年之限制為既得後之限制，</w:t>
      </w:r>
      <w:proofErr w:type="gramStart"/>
      <w:r w:rsidRPr="00BE3F12">
        <w:rPr>
          <w:rFonts w:ascii="Times New Roman" w:eastAsia="標楷體" w:hAnsi="Times New Roman" w:cs="Times New Roman"/>
          <w:sz w:val="32"/>
          <w:szCs w:val="32"/>
        </w:rPr>
        <w:t>屬非既得</w:t>
      </w:r>
      <w:proofErr w:type="gramEnd"/>
      <w:r w:rsidRPr="00BE3F12">
        <w:rPr>
          <w:rFonts w:ascii="Times New Roman" w:eastAsia="標楷體" w:hAnsi="Times New Roman" w:cs="Times New Roman"/>
          <w:sz w:val="32"/>
          <w:szCs w:val="32"/>
        </w:rPr>
        <w:t>條件，並於給與日衡量公允價值時應予考慮。</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發行與員工之權益工具若有既得後之限制，其公</w:t>
      </w:r>
      <w:r w:rsidRPr="00BE3F12">
        <w:rPr>
          <w:rFonts w:ascii="Times New Roman" w:eastAsia="標楷體" w:hAnsi="Times New Roman" w:cs="Times New Roman"/>
          <w:sz w:val="32"/>
          <w:szCs w:val="32"/>
        </w:rPr>
        <w:lastRenderedPageBreak/>
        <w:t>允價值的決定方法，若主要</w:t>
      </w:r>
      <w:proofErr w:type="gramStart"/>
      <w:r w:rsidRPr="00BE3F12">
        <w:rPr>
          <w:rFonts w:ascii="Times New Roman" w:eastAsia="標楷體" w:hAnsi="Times New Roman" w:cs="Times New Roman"/>
          <w:sz w:val="32"/>
          <w:szCs w:val="32"/>
        </w:rPr>
        <w:t>係依或僅</w:t>
      </w:r>
      <w:proofErr w:type="gramEnd"/>
      <w:r w:rsidRPr="00BE3F12">
        <w:rPr>
          <w:rFonts w:ascii="Times New Roman" w:eastAsia="標楷體" w:hAnsi="Times New Roman" w:cs="Times New Roman"/>
          <w:sz w:val="32"/>
          <w:szCs w:val="32"/>
        </w:rPr>
        <w:t>依企業與其員工間之實際交易或由雙方構成之市場係不適當的，舉例來說，僅反映員工之個人借款利率。此係因</w:t>
      </w:r>
      <w:r w:rsidRPr="00BE3F12">
        <w:rPr>
          <w:rFonts w:ascii="Times New Roman" w:eastAsia="標楷體" w:hAnsi="Times New Roman" w:cs="Times New Roman"/>
          <w:sz w:val="32"/>
          <w:szCs w:val="32"/>
        </w:rPr>
        <w:t>IFRS 2</w:t>
      </w:r>
      <w:r w:rsidRPr="00BE3F12">
        <w:rPr>
          <w:rFonts w:ascii="Times New Roman" w:eastAsia="標楷體" w:hAnsi="Times New Roman" w:cs="Times New Roman"/>
          <w:sz w:val="32"/>
          <w:szCs w:val="32"/>
        </w:rPr>
        <w:t>的目標係估計權益工具之公允價值，而非員工觀點之價值。影響員工對權益工具價值特定觀點之因素，與有專業知識，有意願之市場參與者在估計價格時所設定之因素並不</w:t>
      </w:r>
      <w:proofErr w:type="gramStart"/>
      <w:r w:rsidRPr="00BE3F12">
        <w:rPr>
          <w:rFonts w:ascii="Times New Roman" w:eastAsia="標楷體" w:hAnsi="Times New Roman" w:cs="Times New Roman"/>
          <w:sz w:val="32"/>
          <w:szCs w:val="32"/>
        </w:rPr>
        <w:t>攸</w:t>
      </w:r>
      <w:proofErr w:type="gramEnd"/>
      <w:r w:rsidRPr="00BE3F12">
        <w:rPr>
          <w:rFonts w:ascii="Times New Roman" w:eastAsia="標楷體" w:hAnsi="Times New Roman" w:cs="Times New Roman"/>
          <w:sz w:val="32"/>
          <w:szCs w:val="32"/>
        </w:rPr>
        <w:t>關。因此，應考慮會有實際或潛在市場參與者有意願投資之受限制股份假設交易。</w:t>
      </w:r>
    </w:p>
    <w:p w:rsidR="00BE3F12" w:rsidRPr="00BE3F12" w:rsidRDefault="00BE3F12" w:rsidP="00BE3F12">
      <w:pPr>
        <w:pStyle w:val="a7"/>
        <w:spacing w:before="100" w:beforeAutospacing="1" w:after="100" w:afterAutospacing="1" w:line="400" w:lineRule="exact"/>
        <w:ind w:leftChars="0" w:left="1068"/>
        <w:rPr>
          <w:rFonts w:ascii="Times New Roman" w:eastAsia="標楷體" w:hAnsi="Times New Roman" w:cs="Times New Roman"/>
          <w:sz w:val="32"/>
          <w:szCs w:val="32"/>
          <w:u w:val="single"/>
        </w:rPr>
      </w:pPr>
      <w:r w:rsidRPr="00BE3F12">
        <w:rPr>
          <w:rFonts w:ascii="Times New Roman" w:eastAsia="標楷體" w:hAnsi="Times New Roman" w:cs="Times New Roman"/>
          <w:sz w:val="32"/>
          <w:szCs w:val="32"/>
          <w:u w:val="single"/>
        </w:rPr>
        <w:t>股利</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當衡量權益工具之公允價值，預期股利之處理係依員工是否有權取得股利而定。</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若員工於既得期間無權取得已宣告之股利，則相較於有權取得股利之權益工具的公允價值，該些權益工具之公允價值應減除預期股利之現值。</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若員工於既得期間有權取得已宣告之股利，則其會計處理係視其是否為需放棄之股利而定，亦即若未符合既得條件，是否應返還已支付之股利。</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需放棄之股利於既得期間應視為有權取得之股利來處理。</w:t>
      </w:r>
      <w:proofErr w:type="gramStart"/>
      <w:r w:rsidRPr="00BE3F12">
        <w:rPr>
          <w:rFonts w:ascii="Times New Roman" w:eastAsia="標楷體" w:hAnsi="Times New Roman" w:cs="Times New Roman"/>
          <w:sz w:val="32"/>
          <w:szCs w:val="32"/>
        </w:rPr>
        <w:t>續後如</w:t>
      </w:r>
      <w:proofErr w:type="gramEnd"/>
      <w:r w:rsidRPr="00BE3F12">
        <w:rPr>
          <w:rFonts w:ascii="Times New Roman" w:eastAsia="標楷體" w:hAnsi="Times New Roman" w:cs="Times New Roman"/>
          <w:sz w:val="32"/>
          <w:szCs w:val="32"/>
        </w:rPr>
        <w:t>未達成既得條件，則於核實調整股份基礎給付時，將會自動將股利放棄之影響認列於損益，因該股利已反映於給與日之公允價值中。</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對於無需放棄之股利的處理，有兩種</w:t>
      </w:r>
      <w:proofErr w:type="gramStart"/>
      <w:r w:rsidRPr="00BE3F12">
        <w:rPr>
          <w:rFonts w:ascii="Times New Roman" w:eastAsia="標楷體" w:hAnsi="Times New Roman" w:cs="Times New Roman"/>
          <w:sz w:val="32"/>
          <w:szCs w:val="32"/>
        </w:rPr>
        <w:t>方法均為可</w:t>
      </w:r>
      <w:proofErr w:type="gramEnd"/>
      <w:r w:rsidRPr="00BE3F12">
        <w:rPr>
          <w:rFonts w:ascii="Times New Roman" w:eastAsia="標楷體" w:hAnsi="Times New Roman" w:cs="Times New Roman"/>
          <w:sz w:val="32"/>
          <w:szCs w:val="32"/>
        </w:rPr>
        <w:t>接受。</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hint="eastAsia"/>
          <w:sz w:val="32"/>
          <w:szCs w:val="32"/>
        </w:rPr>
        <w:t>第一種方法：</w:t>
      </w:r>
      <w:r w:rsidRPr="00BE3F12">
        <w:rPr>
          <w:rFonts w:ascii="Times New Roman" w:eastAsia="標楷體" w:hAnsi="Times New Roman" w:cs="Times New Roman"/>
          <w:sz w:val="32"/>
          <w:szCs w:val="32"/>
        </w:rPr>
        <w:t>當決定給與日股份基礎給付之公允價值時，將無需放棄之股利於既得期間視為有權取得之股利。該股利權利的價值反映於股份基礎給付之公允價值，因此增加股份基礎給付的成本。若股份基礎</w:t>
      </w:r>
      <w:proofErr w:type="gramStart"/>
      <w:r w:rsidRPr="00BE3F12">
        <w:rPr>
          <w:rFonts w:ascii="Times New Roman" w:eastAsia="標楷體" w:hAnsi="Times New Roman" w:cs="Times New Roman"/>
          <w:sz w:val="32"/>
          <w:szCs w:val="32"/>
        </w:rPr>
        <w:t>給付未既得</w:t>
      </w:r>
      <w:proofErr w:type="gramEnd"/>
      <w:r w:rsidRPr="00BE3F12">
        <w:rPr>
          <w:rFonts w:ascii="Times New Roman" w:eastAsia="標楷體" w:hAnsi="Times New Roman" w:cs="Times New Roman"/>
          <w:sz w:val="32"/>
          <w:szCs w:val="32"/>
        </w:rPr>
        <w:t>，先前認列為股份基礎給付的成本應拆分為</w:t>
      </w:r>
      <w:r w:rsidRPr="00BE3F12">
        <w:rPr>
          <w:rFonts w:ascii="Times New Roman" w:eastAsia="標楷體" w:hAnsi="Times New Roman" w:cs="Times New Roman"/>
          <w:sz w:val="32"/>
          <w:szCs w:val="32"/>
        </w:rPr>
        <w:t>(a)</w:t>
      </w:r>
      <w:r w:rsidRPr="00BE3F12">
        <w:rPr>
          <w:rFonts w:ascii="Times New Roman" w:eastAsia="標楷體" w:hAnsi="Times New Roman" w:cs="Times New Roman"/>
          <w:sz w:val="32"/>
          <w:szCs w:val="32"/>
        </w:rPr>
        <w:t>無需放棄股利之價值及</w:t>
      </w:r>
      <w:r w:rsidRPr="00BE3F12">
        <w:rPr>
          <w:rFonts w:ascii="Times New Roman" w:eastAsia="標楷體" w:hAnsi="Times New Roman" w:cs="Times New Roman"/>
          <w:sz w:val="32"/>
          <w:szCs w:val="32"/>
        </w:rPr>
        <w:t>(b)</w:t>
      </w:r>
      <w:r w:rsidRPr="00BE3F12">
        <w:rPr>
          <w:rFonts w:ascii="Times New Roman" w:eastAsia="標楷體" w:hAnsi="Times New Roman" w:cs="Times New Roman"/>
          <w:sz w:val="32"/>
          <w:szCs w:val="32"/>
        </w:rPr>
        <w:t>股份基礎給付之餘額。</w:t>
      </w:r>
      <w:r w:rsidRPr="00BE3F12">
        <w:rPr>
          <w:rFonts w:ascii="Times New Roman" w:eastAsia="標楷體" w:hAnsi="Times New Roman" w:cs="Times New Roman"/>
          <w:sz w:val="32"/>
          <w:szCs w:val="32"/>
        </w:rPr>
        <w:lastRenderedPageBreak/>
        <w:t>僅股份基礎給付餘額</w:t>
      </w:r>
      <w:r w:rsidR="007D6E9E">
        <w:rPr>
          <w:rFonts w:ascii="Times New Roman" w:eastAsia="標楷體" w:hAnsi="Times New Roman" w:cs="Times New Roman" w:hint="eastAsia"/>
          <w:sz w:val="32"/>
          <w:szCs w:val="32"/>
        </w:rPr>
        <w:t>（</w:t>
      </w:r>
      <w:r w:rsidRPr="00BE3F12">
        <w:rPr>
          <w:rFonts w:ascii="Times New Roman" w:eastAsia="標楷體" w:hAnsi="Times New Roman" w:cs="Times New Roman"/>
          <w:sz w:val="32"/>
          <w:szCs w:val="32"/>
        </w:rPr>
        <w:t>不含無需放棄股利金額</w:t>
      </w:r>
      <w:r w:rsidR="007D6E9E">
        <w:rPr>
          <w:rFonts w:ascii="Times New Roman" w:eastAsia="標楷體" w:hAnsi="Times New Roman" w:cs="Times New Roman" w:hint="eastAsia"/>
          <w:sz w:val="32"/>
          <w:szCs w:val="32"/>
        </w:rPr>
        <w:t>）</w:t>
      </w:r>
      <w:r w:rsidRPr="00BE3F12">
        <w:rPr>
          <w:rFonts w:ascii="Times New Roman" w:eastAsia="標楷體" w:hAnsi="Times New Roman" w:cs="Times New Roman"/>
          <w:sz w:val="32"/>
          <w:szCs w:val="32"/>
        </w:rPr>
        <w:t>應依未符合既得條件作核實調整，以便將員工保有之福利反映於綜合損益表列為費用</w:t>
      </w:r>
      <w:r w:rsidRPr="00BE3F12">
        <w:rPr>
          <w:rFonts w:ascii="Times New Roman" w:eastAsia="標楷體" w:hAnsi="Times New Roman" w:cs="Times New Roman" w:hint="eastAsia"/>
          <w:sz w:val="32"/>
          <w:szCs w:val="32"/>
        </w:rPr>
        <w:t>。</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hint="eastAsia"/>
          <w:sz w:val="32"/>
          <w:szCs w:val="32"/>
        </w:rPr>
        <w:t>第二種</w:t>
      </w:r>
      <w:r w:rsidRPr="00BE3F12">
        <w:rPr>
          <w:rFonts w:ascii="Times New Roman" w:eastAsia="標楷體" w:hAnsi="Times New Roman" w:cs="Times New Roman"/>
          <w:sz w:val="32"/>
          <w:szCs w:val="32"/>
        </w:rPr>
        <w:t>方法</w:t>
      </w:r>
      <w:r w:rsidRPr="00BE3F12">
        <w:rPr>
          <w:rFonts w:ascii="Times New Roman" w:eastAsia="標楷體" w:hAnsi="Times New Roman" w:cs="Times New Roman" w:hint="eastAsia"/>
          <w:sz w:val="32"/>
          <w:szCs w:val="32"/>
        </w:rPr>
        <w:t>：</w:t>
      </w:r>
      <w:r w:rsidRPr="00BE3F12">
        <w:rPr>
          <w:rFonts w:ascii="Times New Roman" w:eastAsia="標楷體" w:hAnsi="Times New Roman" w:cs="Times New Roman"/>
          <w:sz w:val="32"/>
          <w:szCs w:val="32"/>
        </w:rPr>
        <w:t>係將無需放棄之股利視為具有既得條件之勞務給付，其條件與股份基礎給付之既得條件不同。依此觀點，因為該股利權利並非依企業之權益工具之價格或價值為依據，故該股利權利將視為</w:t>
      </w:r>
      <w:proofErr w:type="gramStart"/>
      <w:r w:rsidRPr="00BE3F12">
        <w:rPr>
          <w:rFonts w:ascii="Times New Roman" w:eastAsia="標楷體" w:hAnsi="Times New Roman" w:cs="Times New Roman"/>
          <w:sz w:val="32"/>
          <w:szCs w:val="32"/>
        </w:rPr>
        <w:t>一</w:t>
      </w:r>
      <w:proofErr w:type="gramEnd"/>
      <w:r w:rsidRPr="00BE3F12">
        <w:rPr>
          <w:rFonts w:ascii="Times New Roman" w:eastAsia="標楷體" w:hAnsi="Times New Roman" w:cs="Times New Roman"/>
          <w:sz w:val="32"/>
          <w:szCs w:val="32"/>
        </w:rPr>
        <w:t>項福利</w:t>
      </w:r>
      <w:proofErr w:type="gramStart"/>
      <w:r w:rsidR="002747F6">
        <w:rPr>
          <w:rFonts w:ascii="Times New Roman" w:eastAsia="標楷體" w:hAnsi="Times New Roman" w:cs="Times New Roman" w:hint="eastAsia"/>
          <w:sz w:val="32"/>
          <w:szCs w:val="32"/>
        </w:rPr>
        <w:t>（</w:t>
      </w:r>
      <w:proofErr w:type="gramEnd"/>
      <w:r w:rsidRPr="00BE3F12">
        <w:rPr>
          <w:rFonts w:ascii="Times New Roman" w:eastAsia="標楷體" w:hAnsi="Times New Roman" w:cs="Times New Roman"/>
          <w:sz w:val="32"/>
          <w:szCs w:val="32"/>
        </w:rPr>
        <w:t>例如：</w:t>
      </w:r>
      <w:r w:rsidR="002747F6">
        <w:rPr>
          <w:rFonts w:ascii="Times New Roman" w:eastAsia="標楷體" w:hAnsi="Times New Roman" w:cs="Times New Roman" w:hint="eastAsia"/>
          <w:sz w:val="32"/>
          <w:szCs w:val="32"/>
        </w:rPr>
        <w:t>國際會計準則第</w:t>
      </w:r>
      <w:r w:rsidR="002747F6">
        <w:rPr>
          <w:rFonts w:ascii="Times New Roman" w:eastAsia="標楷體" w:hAnsi="Times New Roman" w:cs="Times New Roman" w:hint="eastAsia"/>
          <w:sz w:val="32"/>
          <w:szCs w:val="32"/>
        </w:rPr>
        <w:t>19</w:t>
      </w:r>
      <w:r w:rsidR="002747F6">
        <w:rPr>
          <w:rFonts w:ascii="Times New Roman" w:eastAsia="標楷體" w:hAnsi="Times New Roman" w:cs="Times New Roman" w:hint="eastAsia"/>
          <w:sz w:val="32"/>
          <w:szCs w:val="32"/>
        </w:rPr>
        <w:t>號「員工福利」</w:t>
      </w:r>
      <w:proofErr w:type="gramStart"/>
      <w:r w:rsidR="007D6E9E">
        <w:rPr>
          <w:rFonts w:ascii="Times New Roman" w:eastAsia="標楷體" w:hAnsi="Times New Roman" w:cs="Times New Roman" w:hint="eastAsia"/>
          <w:sz w:val="32"/>
          <w:szCs w:val="32"/>
        </w:rPr>
        <w:t>）</w:t>
      </w:r>
      <w:proofErr w:type="gramEnd"/>
      <w:r w:rsidRPr="00BE3F12">
        <w:rPr>
          <w:rFonts w:ascii="Times New Roman" w:eastAsia="標楷體" w:hAnsi="Times New Roman" w:cs="Times New Roman"/>
          <w:sz w:val="32"/>
          <w:szCs w:val="32"/>
        </w:rPr>
        <w:t>而非股份基礎給付。依此，股份基礎給付給與日之公允價值應較</w:t>
      </w:r>
      <w:r w:rsidRPr="00BE3F12">
        <w:rPr>
          <w:rFonts w:ascii="Times New Roman" w:eastAsia="標楷體" w:hAnsi="Times New Roman" w:cs="Times New Roman" w:hint="eastAsia"/>
          <w:sz w:val="32"/>
          <w:szCs w:val="32"/>
        </w:rPr>
        <w:t>第一種方法</w:t>
      </w:r>
      <w:r w:rsidRPr="00BE3F12">
        <w:rPr>
          <w:rFonts w:ascii="Times New Roman" w:eastAsia="標楷體" w:hAnsi="Times New Roman" w:cs="Times New Roman"/>
          <w:sz w:val="32"/>
          <w:szCs w:val="32"/>
        </w:rPr>
        <w:t>為低。</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由於股利通常會視為衡量給與日公允價值的一部分，採用</w:t>
      </w:r>
      <w:r w:rsidRPr="00BE3F12">
        <w:rPr>
          <w:rFonts w:ascii="Times New Roman" w:eastAsia="標楷體" w:hAnsi="Times New Roman" w:cs="Times New Roman" w:hint="eastAsia"/>
          <w:sz w:val="32"/>
          <w:szCs w:val="32"/>
        </w:rPr>
        <w:t>第一種</w:t>
      </w:r>
      <w:r w:rsidRPr="00BE3F12">
        <w:rPr>
          <w:rFonts w:ascii="Times New Roman" w:eastAsia="標楷體" w:hAnsi="Times New Roman" w:cs="Times New Roman"/>
          <w:sz w:val="32"/>
          <w:szCs w:val="32"/>
        </w:rPr>
        <w:t>方法，即將取得股利之權利視為股份基礎給付的一部分，除非存有證據顯示該交易之股份組成部分僅為履行支付股利的機制。</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無論是否為須放棄之股利，於既得期間內宣告之股利應依其他</w:t>
      </w:r>
      <w:r w:rsidRPr="00BE3F12">
        <w:rPr>
          <w:rFonts w:ascii="Times New Roman" w:eastAsia="標楷體" w:hAnsi="Times New Roman" w:cs="Times New Roman"/>
          <w:sz w:val="32"/>
          <w:szCs w:val="32"/>
        </w:rPr>
        <w:t>IFRSs</w:t>
      </w:r>
      <w:r w:rsidRPr="00BE3F12">
        <w:rPr>
          <w:rFonts w:ascii="Times New Roman" w:eastAsia="標楷體" w:hAnsi="Times New Roman" w:cs="Times New Roman"/>
          <w:sz w:val="32"/>
          <w:szCs w:val="32"/>
        </w:rPr>
        <w:t>之規定，即視為分派。因此，股利之宣告或給付均不會直接產生額外的成本，因有關給與之股利權利所認列的成本應依上述分開考量。依</w:t>
      </w:r>
      <w:r w:rsidRPr="00BE3F12">
        <w:rPr>
          <w:rFonts w:ascii="Times New Roman" w:eastAsia="標楷體" w:hAnsi="Times New Roman" w:cs="Times New Roman" w:hint="eastAsia"/>
          <w:sz w:val="32"/>
          <w:szCs w:val="32"/>
        </w:rPr>
        <w:t>第一種</w:t>
      </w:r>
      <w:r w:rsidRPr="00BE3F12">
        <w:rPr>
          <w:rFonts w:ascii="Times New Roman" w:eastAsia="標楷體" w:hAnsi="Times New Roman" w:cs="Times New Roman"/>
          <w:sz w:val="32"/>
          <w:szCs w:val="32"/>
        </w:rPr>
        <w:t>方法，如果未符合既得條件時仍可保留股利金額，無須調整股利會計，因為無需放棄股利相關的股份基礎給付成本部分將不會被核實調整。</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關於給與之股份，對於在既得期間宣告惟須等到既得時方予支付之股利，在宣告時即應計入股東權益並認列為負債。</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如股份基礎給付及股利因未能符合既得條件而放棄，則股利之退回應視為與股東之交易，即退回之股利及支付股利均直接認列於股東權益作為先前認列股利之調整。</w:t>
      </w:r>
    </w:p>
    <w:p w:rsidR="00BE3F12" w:rsidRPr="00BE3F12" w:rsidRDefault="00BE3F12" w:rsidP="00BE3F12">
      <w:pPr>
        <w:pStyle w:val="a7"/>
        <w:spacing w:before="100" w:beforeAutospacing="1" w:after="100" w:afterAutospacing="1" w:line="400" w:lineRule="exact"/>
        <w:ind w:leftChars="0" w:left="1068"/>
        <w:rPr>
          <w:rFonts w:ascii="Times New Roman" w:eastAsia="標楷體" w:hAnsi="Times New Roman" w:cs="Times New Roman"/>
          <w:sz w:val="32"/>
          <w:szCs w:val="32"/>
          <w:u w:val="single"/>
        </w:rPr>
      </w:pPr>
      <w:r w:rsidRPr="00BE3F12">
        <w:rPr>
          <w:rFonts w:ascii="Times New Roman" w:eastAsia="標楷體" w:hAnsi="Times New Roman" w:cs="Times New Roman"/>
          <w:sz w:val="32"/>
          <w:szCs w:val="32"/>
          <w:u w:val="single"/>
        </w:rPr>
        <w:t>等值之股份</w:t>
      </w:r>
    </w:p>
    <w:p w:rsidR="00BE3F12" w:rsidRPr="00BE3F12" w:rsidRDefault="00BE3F12" w:rsidP="00492AEE">
      <w:pPr>
        <w:pStyle w:val="a7"/>
        <w:spacing w:before="100" w:beforeAutospacing="1" w:after="100" w:afterAutospacing="1" w:line="400" w:lineRule="exact"/>
        <w:ind w:leftChars="0" w:left="1068" w:firstLineChars="150" w:firstLine="480"/>
        <w:rPr>
          <w:rFonts w:ascii="Times New Roman" w:eastAsia="標楷體" w:hAnsi="Times New Roman" w:cs="Times New Roman"/>
          <w:sz w:val="32"/>
          <w:szCs w:val="32"/>
        </w:rPr>
      </w:pPr>
      <w:r w:rsidRPr="00BE3F12">
        <w:rPr>
          <w:rFonts w:ascii="Times New Roman" w:eastAsia="標楷體" w:hAnsi="Times New Roman" w:cs="Times New Roman"/>
          <w:sz w:val="32"/>
          <w:szCs w:val="32"/>
        </w:rPr>
        <w:lastRenderedPageBreak/>
        <w:t>當給與</w:t>
      </w:r>
      <w:proofErr w:type="gramStart"/>
      <w:r w:rsidRPr="00BE3F12">
        <w:rPr>
          <w:rFonts w:ascii="Times New Roman" w:eastAsia="標楷體" w:hAnsi="Times New Roman" w:cs="Times New Roman"/>
          <w:sz w:val="32"/>
          <w:szCs w:val="32"/>
        </w:rPr>
        <w:t>一</w:t>
      </w:r>
      <w:proofErr w:type="gramEnd"/>
      <w:r w:rsidRPr="00BE3F12">
        <w:rPr>
          <w:rFonts w:ascii="Times New Roman" w:eastAsia="標楷體" w:hAnsi="Times New Roman" w:cs="Times New Roman"/>
          <w:sz w:val="32"/>
          <w:szCs w:val="32"/>
        </w:rPr>
        <w:t>固定金額並換算為變動數量之權益工具時，通稱為等值之股份，則此類協議為權益交割股份基礎給付協議。</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因附有服務規定，而係於未來給與股份，此類給與之衡量產生一項問題。關於其衡量有下列兩個可接受之方法：</w:t>
      </w:r>
    </w:p>
    <w:p w:rsidR="00BE3F12" w:rsidRPr="00BE3F12" w:rsidRDefault="00BE3F12" w:rsidP="00BE3F12">
      <w:pPr>
        <w:numPr>
          <w:ilvl w:val="0"/>
          <w:numId w:val="14"/>
        </w:numPr>
        <w:tabs>
          <w:tab w:val="clear" w:pos="1780"/>
        </w:tabs>
        <w:spacing w:before="100" w:beforeAutospacing="1" w:after="100" w:afterAutospacing="1" w:line="400" w:lineRule="exact"/>
        <w:ind w:leftChars="470" w:left="1416" w:hanging="288"/>
        <w:rPr>
          <w:rFonts w:ascii="Times New Roman" w:eastAsia="標楷體" w:hAnsi="Times New Roman" w:cs="Times New Roman"/>
          <w:sz w:val="32"/>
          <w:szCs w:val="32"/>
        </w:rPr>
      </w:pPr>
      <w:r w:rsidRPr="00BE3F12">
        <w:rPr>
          <w:rFonts w:ascii="Times New Roman" w:eastAsia="標楷體" w:hAnsi="Times New Roman" w:cs="Times New Roman"/>
          <w:sz w:val="32"/>
          <w:szCs w:val="32"/>
        </w:rPr>
        <w:t>視為將於</w:t>
      </w:r>
      <w:proofErr w:type="gramStart"/>
      <w:r w:rsidRPr="00BE3F12">
        <w:rPr>
          <w:rFonts w:ascii="Times New Roman" w:eastAsia="標楷體" w:hAnsi="Times New Roman" w:cs="Times New Roman"/>
          <w:sz w:val="32"/>
          <w:szCs w:val="32"/>
        </w:rPr>
        <w:t>未來依折現</w:t>
      </w:r>
      <w:proofErr w:type="gramEnd"/>
      <w:r w:rsidRPr="00BE3F12">
        <w:rPr>
          <w:rFonts w:ascii="Times New Roman" w:eastAsia="標楷體" w:hAnsi="Times New Roman" w:cs="Times New Roman"/>
          <w:sz w:val="32"/>
          <w:szCs w:val="32"/>
        </w:rPr>
        <w:t>值取得固定金額之現金，類似於金融負債之淨現值；或</w:t>
      </w:r>
    </w:p>
    <w:p w:rsidR="00BE3F12" w:rsidRPr="00BE3F12" w:rsidRDefault="00BE3F12" w:rsidP="00BE3F12">
      <w:pPr>
        <w:numPr>
          <w:ilvl w:val="0"/>
          <w:numId w:val="14"/>
        </w:numPr>
        <w:tabs>
          <w:tab w:val="clear" w:pos="1780"/>
        </w:tabs>
        <w:spacing w:before="100" w:beforeAutospacing="1" w:after="100" w:afterAutospacing="1" w:line="400" w:lineRule="exact"/>
        <w:ind w:leftChars="470" w:left="1416" w:hanging="288"/>
        <w:rPr>
          <w:rFonts w:ascii="Times New Roman" w:eastAsia="標楷體" w:hAnsi="Times New Roman" w:cs="Times New Roman"/>
          <w:sz w:val="32"/>
          <w:szCs w:val="32"/>
        </w:rPr>
      </w:pPr>
      <w:r w:rsidRPr="00BE3F12">
        <w:rPr>
          <w:rFonts w:ascii="Times New Roman" w:eastAsia="標楷體" w:hAnsi="Times New Roman" w:cs="Times New Roman"/>
          <w:sz w:val="32"/>
          <w:szCs w:val="32"/>
        </w:rPr>
        <w:t>視為僅有服務要求之無償股份給與，則依股價，不考慮折現，因相對於金融負債，此情況不會產生資源流出。</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sz w:val="32"/>
          <w:szCs w:val="32"/>
        </w:rPr>
        <w:t>若上述給付係在報導期間結束日後超過</w:t>
      </w:r>
      <w:r w:rsidRPr="00BE3F12">
        <w:rPr>
          <w:rFonts w:ascii="Times New Roman" w:eastAsia="標楷體" w:hAnsi="Times New Roman" w:cs="Times New Roman"/>
          <w:sz w:val="32"/>
          <w:szCs w:val="32"/>
        </w:rPr>
        <w:t>12</w:t>
      </w:r>
      <w:r w:rsidRPr="00BE3F12">
        <w:rPr>
          <w:rFonts w:ascii="Times New Roman" w:eastAsia="標楷體" w:hAnsi="Times New Roman" w:cs="Times New Roman"/>
          <w:sz w:val="32"/>
          <w:szCs w:val="32"/>
        </w:rPr>
        <w:t>個月方交割者，該</w:t>
      </w:r>
      <w:proofErr w:type="gramStart"/>
      <w:r w:rsidRPr="00BE3F12">
        <w:rPr>
          <w:rFonts w:ascii="Times New Roman" w:eastAsia="標楷體" w:hAnsi="Times New Roman" w:cs="Times New Roman"/>
          <w:sz w:val="32"/>
          <w:szCs w:val="32"/>
        </w:rPr>
        <w:t>給與依折現</w:t>
      </w:r>
      <w:proofErr w:type="gramEnd"/>
      <w:r w:rsidRPr="00BE3F12">
        <w:rPr>
          <w:rFonts w:ascii="Times New Roman" w:eastAsia="標楷體" w:hAnsi="Times New Roman" w:cs="Times New Roman"/>
          <w:sz w:val="32"/>
          <w:szCs w:val="32"/>
        </w:rPr>
        <w:t>基礎衡量。</w:t>
      </w:r>
    </w:p>
    <w:p w:rsidR="00BE3F12" w:rsidRPr="00BE3F12" w:rsidRDefault="00BE3F12" w:rsidP="00BE3F12">
      <w:pPr>
        <w:pStyle w:val="a7"/>
        <w:spacing w:before="100" w:beforeAutospacing="1" w:after="100" w:afterAutospacing="1" w:line="400" w:lineRule="exact"/>
        <w:ind w:leftChars="0" w:left="1068"/>
        <w:rPr>
          <w:rFonts w:ascii="Times New Roman" w:eastAsia="標楷體" w:hAnsi="Times New Roman" w:cs="Times New Roman"/>
          <w:sz w:val="32"/>
          <w:szCs w:val="32"/>
          <w:u w:val="single"/>
        </w:rPr>
      </w:pPr>
      <w:r w:rsidRPr="00BE3F12">
        <w:rPr>
          <w:rFonts w:ascii="Times New Roman" w:eastAsia="標楷體" w:hAnsi="Times New Roman" w:cs="Times New Roman"/>
          <w:sz w:val="32"/>
          <w:szCs w:val="32"/>
          <w:u w:val="single"/>
        </w:rPr>
        <w:t>市</w:t>
      </w:r>
      <w:r w:rsidRPr="00BE3F12">
        <w:rPr>
          <w:rFonts w:ascii="Times New Roman" w:eastAsia="標楷體" w:hAnsi="Times New Roman" w:cs="Times New Roman" w:hint="eastAsia"/>
          <w:sz w:val="32"/>
          <w:szCs w:val="32"/>
          <w:u w:val="single"/>
        </w:rPr>
        <w:t>價條件</w:t>
      </w:r>
      <w:r w:rsidRPr="00BE3F12">
        <w:rPr>
          <w:rFonts w:ascii="Times New Roman" w:eastAsia="標楷體" w:hAnsi="Times New Roman" w:cs="Times New Roman"/>
          <w:sz w:val="32"/>
          <w:szCs w:val="32"/>
          <w:u w:val="single"/>
        </w:rPr>
        <w:t>與變動數量之權益工具</w:t>
      </w:r>
    </w:p>
    <w:p w:rsidR="00BE3F12" w:rsidRPr="00BE3F12"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hint="eastAsia"/>
          <w:sz w:val="32"/>
          <w:szCs w:val="32"/>
        </w:rPr>
        <w:t>若權益工具之數量是否既得會隨著市價條件之達成與否而變動，則無法評價所給與權益工具之整體公允價值，因為既得部分之數量視市價條件之達成情況而定，且不會是固定之總金額。基本上，收受者無法</w:t>
      </w:r>
      <w:proofErr w:type="gramStart"/>
      <w:r w:rsidRPr="00BE3F12">
        <w:rPr>
          <w:rFonts w:ascii="Times New Roman" w:eastAsia="標楷體" w:hAnsi="Times New Roman" w:cs="Times New Roman" w:hint="eastAsia"/>
          <w:sz w:val="32"/>
          <w:szCs w:val="32"/>
        </w:rPr>
        <w:t>收到未既得</w:t>
      </w:r>
      <w:proofErr w:type="gramEnd"/>
      <w:r w:rsidRPr="00BE3F12">
        <w:rPr>
          <w:rFonts w:ascii="Times New Roman" w:eastAsia="標楷體" w:hAnsi="Times New Roman" w:cs="Times New Roman" w:hint="eastAsia"/>
          <w:sz w:val="32"/>
          <w:szCs w:val="32"/>
        </w:rPr>
        <w:t>之權益工具，但有權利收取變動數量之權益工具，該工具之數量與總金額係取決於市價條件之結果。</w:t>
      </w:r>
    </w:p>
    <w:p w:rsidR="009D6F1A" w:rsidRDefault="00BE3F12" w:rsidP="00492AEE">
      <w:pPr>
        <w:pStyle w:val="a7"/>
        <w:spacing w:before="100" w:beforeAutospacing="1" w:after="100" w:afterAutospacing="1" w:line="400" w:lineRule="exact"/>
        <w:ind w:leftChars="0" w:left="1068" w:firstLineChars="200" w:firstLine="640"/>
        <w:rPr>
          <w:rFonts w:ascii="Times New Roman" w:eastAsia="標楷體" w:hAnsi="Times New Roman" w:cs="Times New Roman"/>
          <w:sz w:val="32"/>
          <w:szCs w:val="32"/>
        </w:rPr>
      </w:pPr>
      <w:r w:rsidRPr="00BE3F12">
        <w:rPr>
          <w:rFonts w:ascii="Times New Roman" w:eastAsia="標楷體" w:hAnsi="Times New Roman" w:cs="Times New Roman" w:hint="eastAsia"/>
          <w:sz w:val="32"/>
          <w:szCs w:val="32"/>
        </w:rPr>
        <w:t>於給與日股份基礎給付每一權利之公允價值應採用考量各種可能不同結果計算期望值之評價技術（例如二項式或</w:t>
      </w:r>
      <w:r w:rsidRPr="00BE3F12">
        <w:rPr>
          <w:rFonts w:ascii="Times New Roman" w:eastAsia="標楷體" w:hAnsi="Times New Roman" w:cs="Times New Roman"/>
          <w:sz w:val="32"/>
          <w:szCs w:val="32"/>
        </w:rPr>
        <w:t>Monte Carlo</w:t>
      </w:r>
      <w:r w:rsidRPr="00BE3F12">
        <w:rPr>
          <w:rFonts w:ascii="Times New Roman" w:eastAsia="標楷體" w:hAnsi="Times New Roman" w:cs="Times New Roman" w:hint="eastAsia"/>
          <w:sz w:val="32"/>
          <w:szCs w:val="32"/>
        </w:rPr>
        <w:t>）予以評價。因為其屬於附市價條件之股份基礎給付，故後續每一權利之期望值不應依股份價格或相關市價條件之變動而調整。因未符合服務條件所導致之變動，則應</w:t>
      </w:r>
      <w:r w:rsidRPr="00BE3F12">
        <w:rPr>
          <w:rFonts w:ascii="Times New Roman" w:eastAsia="標楷體" w:hAnsi="Times New Roman" w:cs="Times New Roman"/>
          <w:sz w:val="32"/>
          <w:szCs w:val="32"/>
        </w:rPr>
        <w:t>依預計既得與實際既得權益工具數量作調整</w:t>
      </w:r>
      <w:r w:rsidRPr="00BE3F12">
        <w:rPr>
          <w:rFonts w:ascii="Times New Roman" w:eastAsia="標楷體" w:hAnsi="Times New Roman" w:cs="Times New Roman" w:hint="eastAsia"/>
          <w:sz w:val="32"/>
          <w:szCs w:val="32"/>
        </w:rPr>
        <w:t>。</w:t>
      </w:r>
    </w:p>
    <w:p w:rsidR="008F4EFD" w:rsidRPr="00FD1E0D" w:rsidRDefault="009D6F1A" w:rsidP="00FD1E0D">
      <w:pPr>
        <w:widowControl/>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rsidR="00E91C6E" w:rsidRPr="0025664C" w:rsidRDefault="00E91C6E" w:rsidP="002F10EF">
      <w:pPr>
        <w:pStyle w:val="a7"/>
        <w:numPr>
          <w:ilvl w:val="0"/>
          <w:numId w:val="1"/>
        </w:numPr>
        <w:ind w:leftChars="0" w:left="709" w:hanging="709"/>
        <w:rPr>
          <w:rFonts w:ascii="標楷體" w:eastAsia="標楷體" w:hAnsi="標楷體"/>
          <w:b/>
          <w:sz w:val="32"/>
          <w:szCs w:val="32"/>
        </w:rPr>
      </w:pPr>
      <w:r w:rsidRPr="0025664C">
        <w:rPr>
          <w:rFonts w:ascii="標楷體" w:eastAsia="標楷體" w:hAnsi="標楷體" w:hint="eastAsia"/>
          <w:b/>
          <w:sz w:val="32"/>
          <w:szCs w:val="32"/>
        </w:rPr>
        <w:lastRenderedPageBreak/>
        <w:t>結論及實務提醒事項</w:t>
      </w:r>
    </w:p>
    <w:p w:rsidR="00C33BF5" w:rsidRPr="00C33BF5" w:rsidRDefault="00F92224" w:rsidP="00492AEE">
      <w:pPr>
        <w:pStyle w:val="a7"/>
        <w:spacing w:before="100" w:beforeAutospacing="1" w:after="100" w:afterAutospacing="1" w:line="400" w:lineRule="exact"/>
        <w:ind w:leftChars="0" w:left="709" w:firstLineChars="200" w:firstLine="640"/>
        <w:rPr>
          <w:rFonts w:ascii="Times New Roman" w:eastAsia="標楷體" w:hAnsi="Times New Roman" w:cs="Times New Roman"/>
          <w:sz w:val="32"/>
          <w:szCs w:val="32"/>
        </w:rPr>
      </w:pPr>
      <w:r w:rsidRPr="00F92224">
        <w:rPr>
          <w:rFonts w:ascii="Times New Roman" w:eastAsia="標楷體" w:hAnsi="Times New Roman" w:cs="Times New Roman" w:hint="eastAsia"/>
          <w:sz w:val="32"/>
          <w:szCs w:val="32"/>
        </w:rPr>
        <w:t>2013</w:t>
      </w:r>
      <w:r>
        <w:rPr>
          <w:rFonts w:ascii="Times New Roman" w:eastAsia="標楷體" w:hAnsi="Times New Roman" w:cs="Times New Roman" w:hint="eastAsia"/>
          <w:sz w:val="32"/>
          <w:szCs w:val="32"/>
        </w:rPr>
        <w:t>年</w:t>
      </w:r>
      <w:r w:rsidRPr="00F92224">
        <w:rPr>
          <w:rFonts w:ascii="Times New Roman" w:eastAsia="標楷體" w:hAnsi="Times New Roman" w:cs="Times New Roman" w:hint="eastAsia"/>
          <w:sz w:val="32"/>
          <w:szCs w:val="32"/>
        </w:rPr>
        <w:t>版</w:t>
      </w:r>
      <w:r w:rsidRPr="00F92224">
        <w:rPr>
          <w:rFonts w:ascii="Times New Roman" w:eastAsia="標楷體" w:hAnsi="Times New Roman" w:cs="Times New Roman" w:hint="eastAsia"/>
          <w:sz w:val="32"/>
          <w:szCs w:val="32"/>
        </w:rPr>
        <w:t>IFRS 3</w:t>
      </w:r>
      <w:r>
        <w:rPr>
          <w:rFonts w:ascii="Times New Roman" w:eastAsia="標楷體" w:hAnsi="Times New Roman" w:cs="Times New Roman" w:hint="eastAsia"/>
          <w:sz w:val="32"/>
          <w:szCs w:val="32"/>
        </w:rPr>
        <w:t>第</w:t>
      </w:r>
      <w:r w:rsidRPr="00F92224">
        <w:rPr>
          <w:rFonts w:ascii="Times New Roman" w:eastAsia="標楷體" w:hAnsi="Times New Roman" w:cs="Times New Roman" w:hint="eastAsia"/>
          <w:sz w:val="32"/>
          <w:szCs w:val="32"/>
        </w:rPr>
        <w:t>64B</w:t>
      </w:r>
      <w:r>
        <w:rPr>
          <w:rFonts w:ascii="Times New Roman" w:eastAsia="標楷體" w:hAnsi="Times New Roman" w:cs="Times New Roman" w:hint="eastAsia"/>
          <w:sz w:val="32"/>
          <w:szCs w:val="32"/>
        </w:rPr>
        <w:t>段</w:t>
      </w:r>
      <w:r w:rsidRPr="00F92224">
        <w:rPr>
          <w:rFonts w:ascii="Times New Roman" w:eastAsia="標楷體" w:hAnsi="Times New Roman" w:cs="Times New Roman" w:hint="eastAsia"/>
          <w:sz w:val="32"/>
          <w:szCs w:val="32"/>
        </w:rPr>
        <w:t>規定</w:t>
      </w:r>
      <w:r>
        <w:rPr>
          <w:rFonts w:ascii="Times New Roman" w:eastAsia="標楷體" w:hAnsi="Times New Roman" w:cs="Times New Roman" w:hint="eastAsia"/>
          <w:sz w:val="32"/>
          <w:szCs w:val="32"/>
        </w:rPr>
        <w:t>，</w:t>
      </w:r>
      <w:r w:rsidRPr="00F92224">
        <w:rPr>
          <w:rFonts w:ascii="Times New Roman" w:eastAsia="標楷體" w:hAnsi="Times New Roman" w:cs="Times New Roman" w:hint="eastAsia"/>
          <w:sz w:val="32"/>
          <w:szCs w:val="32"/>
        </w:rPr>
        <w:t>企業應於首次適用</w:t>
      </w:r>
      <w:r w:rsidRPr="00F92224">
        <w:rPr>
          <w:rFonts w:ascii="Times New Roman" w:eastAsia="標楷體" w:hAnsi="Times New Roman" w:cs="Times New Roman" w:hint="eastAsia"/>
          <w:sz w:val="32"/>
          <w:szCs w:val="32"/>
        </w:rPr>
        <w:t>IFRS 3</w:t>
      </w:r>
      <w:r w:rsidRPr="00F92224">
        <w:rPr>
          <w:rFonts w:ascii="Times New Roman" w:eastAsia="標楷體" w:hAnsi="Times New Roman" w:cs="Times New Roman" w:hint="eastAsia"/>
          <w:sz w:val="32"/>
          <w:szCs w:val="32"/>
        </w:rPr>
        <w:t>之日起，推延適用</w:t>
      </w:r>
      <w:r w:rsidRPr="00F92224">
        <w:rPr>
          <w:rFonts w:ascii="Times New Roman" w:eastAsia="標楷體" w:hAnsi="Times New Roman" w:cs="Times New Roman" w:hint="eastAsia"/>
          <w:sz w:val="32"/>
          <w:szCs w:val="32"/>
        </w:rPr>
        <w:t>IFRS 3</w:t>
      </w:r>
      <w:r>
        <w:rPr>
          <w:rFonts w:ascii="Times New Roman" w:eastAsia="標楷體" w:hAnsi="Times New Roman" w:cs="Times New Roman" w:hint="eastAsia"/>
          <w:sz w:val="32"/>
          <w:szCs w:val="32"/>
        </w:rPr>
        <w:t>第</w:t>
      </w:r>
      <w:r w:rsidRPr="00F92224">
        <w:rPr>
          <w:rFonts w:ascii="Times New Roman" w:eastAsia="標楷體" w:hAnsi="Times New Roman" w:cs="Times New Roman" w:hint="eastAsia"/>
          <w:sz w:val="32"/>
          <w:szCs w:val="32"/>
        </w:rPr>
        <w:t>19</w:t>
      </w:r>
      <w:r>
        <w:rPr>
          <w:rFonts w:ascii="Times New Roman" w:eastAsia="標楷體" w:hAnsi="Times New Roman" w:cs="Times New Roman" w:hint="eastAsia"/>
          <w:sz w:val="32"/>
          <w:szCs w:val="32"/>
        </w:rPr>
        <w:t>段</w:t>
      </w:r>
      <w:r w:rsidR="00C33BF5">
        <w:rPr>
          <w:rFonts w:ascii="Times New Roman" w:eastAsia="標楷體" w:hAnsi="Times New Roman" w:cs="Times New Roman" w:hint="eastAsia"/>
          <w:sz w:val="32"/>
          <w:szCs w:val="32"/>
        </w:rPr>
        <w:t>等</w:t>
      </w:r>
      <w:r w:rsidRPr="00F92224">
        <w:rPr>
          <w:rFonts w:ascii="Times New Roman" w:eastAsia="標楷體" w:hAnsi="Times New Roman" w:cs="Times New Roman" w:hint="eastAsia"/>
          <w:sz w:val="32"/>
          <w:szCs w:val="32"/>
        </w:rPr>
        <w:t>修正規定。</w:t>
      </w:r>
      <w:r>
        <w:rPr>
          <w:rFonts w:ascii="Times New Roman" w:eastAsia="標楷體" w:hAnsi="Times New Roman" w:cs="Times New Roman" w:hint="eastAsia"/>
          <w:sz w:val="32"/>
          <w:szCs w:val="32"/>
        </w:rPr>
        <w:t>另</w:t>
      </w:r>
      <w:r w:rsidRPr="00F92224">
        <w:rPr>
          <w:rFonts w:ascii="Times New Roman" w:eastAsia="標楷體" w:hAnsi="Times New Roman" w:cs="Times New Roman"/>
          <w:sz w:val="32"/>
          <w:szCs w:val="32"/>
        </w:rPr>
        <w:t>依照</w:t>
      </w:r>
      <w:r w:rsidRPr="00F92224">
        <w:rPr>
          <w:rFonts w:ascii="Times New Roman" w:eastAsia="標楷體" w:hAnsi="Times New Roman" w:cs="Times New Roman" w:hint="eastAsia"/>
          <w:sz w:val="32"/>
          <w:szCs w:val="32"/>
        </w:rPr>
        <w:t>「</w:t>
      </w:r>
      <w:r w:rsidRPr="00F92224">
        <w:rPr>
          <w:rFonts w:ascii="Times New Roman" w:eastAsia="標楷體" w:hAnsi="Times New Roman" w:cs="Times New Roman"/>
          <w:sz w:val="32"/>
          <w:szCs w:val="32"/>
        </w:rPr>
        <w:t>2013</w:t>
      </w:r>
      <w:r w:rsidRPr="00F92224">
        <w:rPr>
          <w:rFonts w:ascii="Times New Roman" w:eastAsia="標楷體" w:hAnsi="Times New Roman" w:cs="Times New Roman"/>
          <w:sz w:val="32"/>
          <w:szCs w:val="32"/>
        </w:rPr>
        <w:t>年版</w:t>
      </w:r>
      <w:r w:rsidRPr="00F92224">
        <w:rPr>
          <w:rFonts w:ascii="Times New Roman" w:eastAsia="標楷體" w:hAnsi="Times New Roman" w:cs="Times New Roman"/>
          <w:sz w:val="32"/>
          <w:szCs w:val="32"/>
        </w:rPr>
        <w:t>IFRSs</w:t>
      </w:r>
      <w:r w:rsidRPr="00F92224">
        <w:rPr>
          <w:rFonts w:ascii="Times New Roman" w:eastAsia="標楷體" w:hAnsi="Times New Roman" w:cs="Times New Roman"/>
          <w:sz w:val="32"/>
          <w:szCs w:val="32"/>
        </w:rPr>
        <w:t>問答集</w:t>
      </w:r>
      <w:r w:rsidRPr="00F92224">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對上市</w:t>
      </w:r>
      <w:r w:rsidR="00C33BF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上櫃</w:t>
      </w:r>
      <w:proofErr w:type="gramStart"/>
      <w:r>
        <w:rPr>
          <w:rFonts w:ascii="Times New Roman" w:eastAsia="標楷體" w:hAnsi="Times New Roman" w:cs="Times New Roman" w:hint="eastAsia"/>
          <w:sz w:val="32"/>
          <w:szCs w:val="32"/>
        </w:rPr>
        <w:t>及興櫃等</w:t>
      </w:r>
      <w:proofErr w:type="gramEnd"/>
      <w:r>
        <w:rPr>
          <w:rFonts w:ascii="Times New Roman" w:eastAsia="標楷體" w:hAnsi="Times New Roman" w:cs="Times New Roman" w:hint="eastAsia"/>
          <w:sz w:val="32"/>
          <w:szCs w:val="32"/>
        </w:rPr>
        <w:t>已採用</w:t>
      </w:r>
      <w:r>
        <w:rPr>
          <w:rFonts w:ascii="Times New Roman" w:eastAsia="標楷體" w:hAnsi="Times New Roman" w:cs="Times New Roman" w:hint="eastAsia"/>
          <w:sz w:val="32"/>
          <w:szCs w:val="32"/>
        </w:rPr>
        <w:t>2010</w:t>
      </w:r>
      <w:r>
        <w:rPr>
          <w:rFonts w:ascii="Times New Roman" w:eastAsia="標楷體" w:hAnsi="Times New Roman" w:cs="Times New Roman" w:hint="eastAsia"/>
          <w:sz w:val="32"/>
          <w:szCs w:val="32"/>
        </w:rPr>
        <w:t>年版</w:t>
      </w:r>
      <w:r>
        <w:rPr>
          <w:rFonts w:ascii="Times New Roman" w:eastAsia="標楷體" w:hAnsi="Times New Roman" w:cs="Times New Roman" w:hint="eastAsia"/>
          <w:sz w:val="32"/>
          <w:szCs w:val="32"/>
        </w:rPr>
        <w:t>IFRSs</w:t>
      </w:r>
      <w:r>
        <w:rPr>
          <w:rFonts w:ascii="Times New Roman" w:eastAsia="標楷體" w:hAnsi="Times New Roman" w:cs="Times New Roman" w:hint="eastAsia"/>
          <w:sz w:val="32"/>
          <w:szCs w:val="32"/>
        </w:rPr>
        <w:t>之公司而言，</w:t>
      </w:r>
      <w:r w:rsidRPr="00B67624">
        <w:rPr>
          <w:rFonts w:ascii="Times New Roman" w:eastAsia="標楷體" w:hAnsi="Times New Roman" w:cs="Times New Roman" w:hint="eastAsia"/>
          <w:sz w:val="32"/>
          <w:szCs w:val="32"/>
          <w:u w:val="single"/>
        </w:rPr>
        <w:t>應自民國</w:t>
      </w:r>
      <w:r w:rsidRPr="00B67624">
        <w:rPr>
          <w:rFonts w:ascii="Times New Roman" w:eastAsia="標楷體" w:hAnsi="Times New Roman" w:cs="Times New Roman" w:hint="eastAsia"/>
          <w:sz w:val="32"/>
          <w:szCs w:val="32"/>
          <w:u w:val="single"/>
        </w:rPr>
        <w:t>103</w:t>
      </w:r>
      <w:r w:rsidRPr="00B67624">
        <w:rPr>
          <w:rFonts w:ascii="Times New Roman" w:eastAsia="標楷體" w:hAnsi="Times New Roman" w:cs="Times New Roman" w:hint="eastAsia"/>
          <w:sz w:val="32"/>
          <w:szCs w:val="32"/>
          <w:u w:val="single"/>
        </w:rPr>
        <w:t>年</w:t>
      </w:r>
      <w:r w:rsidRPr="00B67624">
        <w:rPr>
          <w:rFonts w:ascii="Times New Roman" w:eastAsia="標楷體" w:hAnsi="Times New Roman" w:cs="Times New Roman" w:hint="eastAsia"/>
          <w:sz w:val="32"/>
          <w:szCs w:val="32"/>
          <w:u w:val="single"/>
        </w:rPr>
        <w:t>1</w:t>
      </w:r>
      <w:r w:rsidRPr="00B67624">
        <w:rPr>
          <w:rFonts w:ascii="Times New Roman" w:eastAsia="標楷體" w:hAnsi="Times New Roman" w:cs="Times New Roman" w:hint="eastAsia"/>
          <w:sz w:val="32"/>
          <w:szCs w:val="32"/>
          <w:u w:val="single"/>
        </w:rPr>
        <w:t>月</w:t>
      </w:r>
      <w:r w:rsidRPr="00B67624">
        <w:rPr>
          <w:rFonts w:ascii="Times New Roman" w:eastAsia="標楷體" w:hAnsi="Times New Roman" w:cs="Times New Roman" w:hint="eastAsia"/>
          <w:sz w:val="32"/>
          <w:szCs w:val="32"/>
          <w:u w:val="single"/>
        </w:rPr>
        <w:t>1</w:t>
      </w:r>
      <w:r w:rsidRPr="00B67624">
        <w:rPr>
          <w:rFonts w:ascii="Times New Roman" w:eastAsia="標楷體" w:hAnsi="Times New Roman" w:cs="Times New Roman" w:hint="eastAsia"/>
          <w:sz w:val="32"/>
          <w:szCs w:val="32"/>
          <w:u w:val="single"/>
        </w:rPr>
        <w:t>日開始推延適用該修正規定</w:t>
      </w:r>
      <w:r w:rsidR="00C33BF5">
        <w:rPr>
          <w:rFonts w:ascii="Times New Roman" w:eastAsia="標楷體" w:hAnsi="Times New Roman" w:cs="Times New Roman" w:hint="eastAsia"/>
          <w:sz w:val="32"/>
          <w:szCs w:val="32"/>
        </w:rPr>
        <w:t>。因此，現在已採用</w:t>
      </w:r>
      <w:r w:rsidR="00C33BF5">
        <w:rPr>
          <w:rFonts w:ascii="Times New Roman" w:eastAsia="標楷體" w:hAnsi="Times New Roman" w:cs="Times New Roman" w:hint="eastAsia"/>
          <w:sz w:val="32"/>
          <w:szCs w:val="32"/>
        </w:rPr>
        <w:t>2010</w:t>
      </w:r>
      <w:r w:rsidR="00C33BF5">
        <w:rPr>
          <w:rFonts w:ascii="Times New Roman" w:eastAsia="標楷體" w:hAnsi="Times New Roman" w:cs="Times New Roman" w:hint="eastAsia"/>
          <w:sz w:val="32"/>
          <w:szCs w:val="32"/>
        </w:rPr>
        <w:t>年版</w:t>
      </w:r>
      <w:r w:rsidR="00C33BF5">
        <w:rPr>
          <w:rFonts w:ascii="Times New Roman" w:eastAsia="標楷體" w:hAnsi="Times New Roman" w:cs="Times New Roman" w:hint="eastAsia"/>
          <w:sz w:val="32"/>
          <w:szCs w:val="32"/>
        </w:rPr>
        <w:t>IFRSs</w:t>
      </w:r>
      <w:r w:rsidR="00C33BF5">
        <w:rPr>
          <w:rFonts w:ascii="Times New Roman" w:eastAsia="標楷體" w:hAnsi="Times New Roman" w:cs="Times New Roman" w:hint="eastAsia"/>
          <w:sz w:val="32"/>
          <w:szCs w:val="32"/>
        </w:rPr>
        <w:t>之公司，若民國</w:t>
      </w:r>
      <w:proofErr w:type="gramStart"/>
      <w:r w:rsidR="00C33BF5">
        <w:rPr>
          <w:rFonts w:ascii="Times New Roman" w:eastAsia="標楷體" w:hAnsi="Times New Roman" w:cs="Times New Roman" w:hint="eastAsia"/>
          <w:sz w:val="32"/>
          <w:szCs w:val="32"/>
        </w:rPr>
        <w:t>103</w:t>
      </w:r>
      <w:proofErr w:type="gramEnd"/>
      <w:r w:rsidR="00C33BF5">
        <w:rPr>
          <w:rFonts w:ascii="Times New Roman" w:eastAsia="標楷體" w:hAnsi="Times New Roman" w:cs="Times New Roman" w:hint="eastAsia"/>
          <w:sz w:val="32"/>
          <w:szCs w:val="32"/>
        </w:rPr>
        <w:t>年度</w:t>
      </w:r>
      <w:r w:rsidR="00B67624">
        <w:rPr>
          <w:rFonts w:ascii="Times New Roman" w:eastAsia="標楷體" w:hAnsi="Times New Roman" w:cs="Times New Roman" w:hint="eastAsia"/>
          <w:sz w:val="32"/>
          <w:szCs w:val="32"/>
        </w:rPr>
        <w:t>發生</w:t>
      </w:r>
      <w:r w:rsidR="00C33BF5">
        <w:rPr>
          <w:rFonts w:ascii="Times New Roman" w:eastAsia="標楷體" w:hAnsi="Times New Roman" w:cs="Times New Roman" w:hint="eastAsia"/>
          <w:sz w:val="32"/>
          <w:szCs w:val="32"/>
        </w:rPr>
        <w:t>企業合併交易，且該交易中有非控制權益</w:t>
      </w:r>
      <w:r w:rsidR="00B67624">
        <w:rPr>
          <w:rFonts w:ascii="Times New Roman" w:eastAsia="標楷體" w:hAnsi="Times New Roman" w:cs="Times New Roman" w:hint="eastAsia"/>
          <w:sz w:val="32"/>
          <w:szCs w:val="32"/>
        </w:rPr>
        <w:t>存在時，建議及早依指引內容</w:t>
      </w:r>
      <w:proofErr w:type="gramStart"/>
      <w:r w:rsidR="00B67624">
        <w:rPr>
          <w:rFonts w:ascii="Times New Roman" w:eastAsia="標楷體" w:hAnsi="Times New Roman" w:cs="Times New Roman" w:hint="eastAsia"/>
          <w:sz w:val="32"/>
          <w:szCs w:val="32"/>
        </w:rPr>
        <w:t>分析該非控制</w:t>
      </w:r>
      <w:proofErr w:type="gramEnd"/>
      <w:r w:rsidR="00B67624">
        <w:rPr>
          <w:rFonts w:ascii="Times New Roman" w:eastAsia="標楷體" w:hAnsi="Times New Roman" w:cs="Times New Roman" w:hint="eastAsia"/>
          <w:sz w:val="32"/>
          <w:szCs w:val="32"/>
        </w:rPr>
        <w:t>權益屬於哪一種類，是否可作會計政策選擇</w:t>
      </w:r>
      <w:r w:rsidR="008C6A4A">
        <w:rPr>
          <w:rFonts w:ascii="Times New Roman" w:eastAsia="標楷體" w:hAnsi="Times New Roman" w:cs="Times New Roman" w:hint="eastAsia"/>
          <w:sz w:val="32"/>
          <w:szCs w:val="32"/>
        </w:rPr>
        <w:t>；若屬於僅能以公允價值衡量的種類，亦建議及早取得公允價值的衡量資訊，</w:t>
      </w:r>
      <w:proofErr w:type="gramStart"/>
      <w:r w:rsidR="008C6A4A">
        <w:rPr>
          <w:rFonts w:ascii="Times New Roman" w:eastAsia="標楷體" w:hAnsi="Times New Roman" w:cs="Times New Roman" w:hint="eastAsia"/>
          <w:sz w:val="32"/>
          <w:szCs w:val="32"/>
        </w:rPr>
        <w:t>俾</w:t>
      </w:r>
      <w:proofErr w:type="gramEnd"/>
      <w:r w:rsidR="008C6A4A">
        <w:rPr>
          <w:rFonts w:ascii="Times New Roman" w:eastAsia="標楷體" w:hAnsi="Times New Roman" w:cs="Times New Roman" w:hint="eastAsia"/>
          <w:sz w:val="32"/>
          <w:szCs w:val="32"/>
        </w:rPr>
        <w:t>利及早得知民國</w:t>
      </w:r>
      <w:r w:rsidR="008C6A4A">
        <w:rPr>
          <w:rFonts w:ascii="Times New Roman" w:eastAsia="標楷體" w:hAnsi="Times New Roman" w:cs="Times New Roman" w:hint="eastAsia"/>
          <w:sz w:val="32"/>
          <w:szCs w:val="32"/>
        </w:rPr>
        <w:t>104</w:t>
      </w:r>
      <w:r w:rsidR="008C6A4A">
        <w:rPr>
          <w:rFonts w:ascii="Times New Roman" w:eastAsia="標楷體" w:hAnsi="Times New Roman" w:cs="Times New Roman" w:hint="eastAsia"/>
          <w:sz w:val="32"/>
          <w:szCs w:val="32"/>
        </w:rPr>
        <w:t>年採用</w:t>
      </w:r>
      <w:r w:rsidR="008C6A4A">
        <w:rPr>
          <w:rFonts w:ascii="Times New Roman" w:eastAsia="標楷體" w:hAnsi="Times New Roman" w:cs="Times New Roman" w:hint="eastAsia"/>
          <w:sz w:val="32"/>
          <w:szCs w:val="32"/>
        </w:rPr>
        <w:t>2013</w:t>
      </w:r>
      <w:r w:rsidR="008C6A4A">
        <w:rPr>
          <w:rFonts w:ascii="Times New Roman" w:eastAsia="標楷體" w:hAnsi="Times New Roman" w:cs="Times New Roman" w:hint="eastAsia"/>
          <w:sz w:val="32"/>
          <w:szCs w:val="32"/>
        </w:rPr>
        <w:t>年版</w:t>
      </w:r>
      <w:r w:rsidR="008C6A4A">
        <w:rPr>
          <w:rFonts w:ascii="Times New Roman" w:eastAsia="標楷體" w:hAnsi="Times New Roman" w:cs="Times New Roman" w:hint="eastAsia"/>
          <w:sz w:val="32"/>
          <w:szCs w:val="32"/>
        </w:rPr>
        <w:t>IFRSs</w:t>
      </w:r>
      <w:r w:rsidR="008C6A4A">
        <w:rPr>
          <w:rFonts w:ascii="Times New Roman" w:eastAsia="標楷體" w:hAnsi="Times New Roman" w:cs="Times New Roman" w:hint="eastAsia"/>
          <w:sz w:val="32"/>
          <w:szCs w:val="32"/>
        </w:rPr>
        <w:t>時所需之調整。</w:t>
      </w:r>
    </w:p>
    <w:p w:rsidR="00853DC3" w:rsidRPr="0025664C" w:rsidRDefault="00853DC3" w:rsidP="002F10EF">
      <w:pPr>
        <w:pStyle w:val="a7"/>
        <w:numPr>
          <w:ilvl w:val="0"/>
          <w:numId w:val="1"/>
        </w:numPr>
        <w:ind w:leftChars="0" w:left="709" w:hanging="709"/>
        <w:rPr>
          <w:rFonts w:ascii="標楷體" w:eastAsia="標楷體" w:hAnsi="標楷體"/>
          <w:b/>
          <w:sz w:val="32"/>
          <w:szCs w:val="32"/>
        </w:rPr>
      </w:pPr>
      <w:r w:rsidRPr="0025664C">
        <w:rPr>
          <w:rFonts w:ascii="標楷體" w:eastAsia="標楷體" w:hAnsi="標楷體" w:hint="eastAsia"/>
          <w:b/>
          <w:sz w:val="32"/>
          <w:szCs w:val="32"/>
        </w:rPr>
        <w:t>資料來源</w:t>
      </w:r>
    </w:p>
    <w:p w:rsidR="002F10EF" w:rsidRPr="00492AEE" w:rsidRDefault="008F4EFD" w:rsidP="008F4EFD">
      <w:pPr>
        <w:pStyle w:val="a7"/>
        <w:numPr>
          <w:ilvl w:val="0"/>
          <w:numId w:val="8"/>
        </w:numPr>
        <w:spacing w:before="100" w:beforeAutospacing="1" w:after="100" w:afterAutospacing="1" w:line="400" w:lineRule="exact"/>
        <w:ind w:leftChars="0"/>
        <w:rPr>
          <w:sz w:val="32"/>
          <w:szCs w:val="32"/>
        </w:rPr>
      </w:pPr>
      <w:r w:rsidRPr="008F4EFD">
        <w:rPr>
          <w:rFonts w:hint="eastAsia"/>
          <w:sz w:val="32"/>
          <w:szCs w:val="32"/>
        </w:rPr>
        <w:t>「</w:t>
      </w:r>
      <w:r w:rsidRPr="008F4EFD">
        <w:rPr>
          <w:rFonts w:ascii="Times New Roman" w:eastAsia="標楷體" w:hAnsi="標楷體" w:cs="Times New Roman"/>
          <w:sz w:val="32"/>
          <w:szCs w:val="32"/>
        </w:rPr>
        <w:t>全面採用</w:t>
      </w:r>
      <w:r w:rsidRPr="008F4EFD">
        <w:rPr>
          <w:rFonts w:ascii="Times New Roman" w:eastAsia="標楷體" w:hAnsi="標楷體" w:cs="Times New Roman" w:hint="eastAsia"/>
          <w:sz w:val="32"/>
          <w:szCs w:val="32"/>
        </w:rPr>
        <w:t>國際財務報導準則</w:t>
      </w:r>
      <w:r w:rsidRPr="008F4EFD">
        <w:rPr>
          <w:rFonts w:ascii="Times New Roman" w:eastAsia="標楷體" w:hAnsi="標楷體" w:cs="Times New Roman"/>
          <w:sz w:val="32"/>
          <w:szCs w:val="32"/>
        </w:rPr>
        <w:t>個案研究計畫</w:t>
      </w:r>
      <w:r w:rsidRPr="008F4EFD">
        <w:rPr>
          <w:rFonts w:hint="eastAsia"/>
          <w:sz w:val="32"/>
          <w:szCs w:val="32"/>
        </w:rPr>
        <w:t>」，</w:t>
      </w:r>
      <w:r w:rsidRPr="008F4EFD">
        <w:rPr>
          <w:rFonts w:eastAsia="標楷體" w:hAnsi="標楷體" w:hint="eastAsia"/>
          <w:sz w:val="32"/>
          <w:szCs w:val="32"/>
        </w:rPr>
        <w:t>蔡彥卿、許崇源、張仲岳、王泰昌及楊孟萍，民國</w:t>
      </w:r>
      <w:r w:rsidRPr="008F4EFD">
        <w:rPr>
          <w:rFonts w:eastAsia="標楷體" w:hAnsi="標楷體" w:hint="eastAsia"/>
          <w:sz w:val="32"/>
          <w:szCs w:val="32"/>
        </w:rPr>
        <w:t>100</w:t>
      </w:r>
      <w:r w:rsidRPr="008F4EFD">
        <w:rPr>
          <w:rFonts w:eastAsia="標楷體" w:hAnsi="標楷體" w:hint="eastAsia"/>
          <w:sz w:val="32"/>
          <w:szCs w:val="32"/>
        </w:rPr>
        <w:t>年，臺灣證券交易所股份有限公司及財團法人中華民國證券櫃檯買賣中心。</w:t>
      </w:r>
      <w:r w:rsidR="002F10EF" w:rsidRPr="008F4EFD">
        <w:rPr>
          <w:rFonts w:eastAsia="標楷體" w:hAnsi="標楷體" w:hint="eastAsia"/>
          <w:sz w:val="32"/>
          <w:szCs w:val="32"/>
        </w:rPr>
        <w:t>網址</w:t>
      </w:r>
      <w:hyperlink r:id="rId12" w:history="1">
        <w:r w:rsidR="002F10EF" w:rsidRPr="00492AEE">
          <w:rPr>
            <w:rStyle w:val="aa"/>
            <w:rFonts w:ascii="Times New Roman" w:eastAsia="標楷體" w:hAnsi="標楷體"/>
            <w:color w:val="auto"/>
            <w:sz w:val="32"/>
            <w:szCs w:val="32"/>
          </w:rPr>
          <w:t>http://www.twse.com.tw/ch/listed/IFRS/doc/plandomestic/plandomestic01.pdf</w:t>
        </w:r>
      </w:hyperlink>
      <w:r w:rsidR="002F10EF" w:rsidRPr="00492AEE">
        <w:rPr>
          <w:rFonts w:hint="eastAsia"/>
          <w:sz w:val="32"/>
          <w:szCs w:val="32"/>
        </w:rPr>
        <w:t>。</w:t>
      </w:r>
    </w:p>
    <w:p w:rsidR="008F4EFD" w:rsidRPr="00492AEE" w:rsidRDefault="008F4EFD" w:rsidP="008F4EFD">
      <w:pPr>
        <w:pStyle w:val="a7"/>
        <w:numPr>
          <w:ilvl w:val="0"/>
          <w:numId w:val="8"/>
        </w:numPr>
        <w:spacing w:before="100" w:beforeAutospacing="1" w:after="100" w:afterAutospacing="1" w:line="400" w:lineRule="exact"/>
        <w:ind w:leftChars="0"/>
        <w:rPr>
          <w:sz w:val="32"/>
          <w:szCs w:val="32"/>
        </w:rPr>
      </w:pPr>
      <w:r w:rsidRPr="00492AEE">
        <w:rPr>
          <w:rFonts w:hint="eastAsia"/>
          <w:sz w:val="32"/>
          <w:szCs w:val="32"/>
        </w:rPr>
        <w:t>「</w:t>
      </w:r>
      <w:r w:rsidRPr="00492AEE">
        <w:rPr>
          <w:rFonts w:eastAsia="標楷體" w:cs="Times New Roman"/>
          <w:sz w:val="32"/>
          <w:szCs w:val="32"/>
        </w:rPr>
        <w:t>解決導入公平價值會計之問題專案研究」</w:t>
      </w:r>
      <w:r w:rsidRPr="00492AEE">
        <w:rPr>
          <w:rFonts w:eastAsia="標楷體" w:cs="Times New Roman" w:hint="eastAsia"/>
          <w:sz w:val="32"/>
          <w:szCs w:val="32"/>
        </w:rPr>
        <w:t>，</w:t>
      </w:r>
      <w:r w:rsidRPr="00492AEE">
        <w:rPr>
          <w:rFonts w:eastAsia="標楷體" w:hAnsi="標楷體" w:hint="eastAsia"/>
          <w:sz w:val="32"/>
          <w:szCs w:val="32"/>
        </w:rPr>
        <w:t>資誠聯合會計師事務所周建宏、陳麗莉、林士鄉、張晉瑞，民國</w:t>
      </w:r>
      <w:r w:rsidRPr="00492AEE">
        <w:rPr>
          <w:rFonts w:eastAsia="標楷體" w:hAnsi="標楷體" w:hint="eastAsia"/>
          <w:sz w:val="32"/>
          <w:szCs w:val="32"/>
        </w:rPr>
        <w:t>94</w:t>
      </w:r>
      <w:r w:rsidRPr="00492AEE">
        <w:rPr>
          <w:rFonts w:eastAsia="標楷體" w:hAnsi="標楷體" w:hint="eastAsia"/>
          <w:sz w:val="32"/>
          <w:szCs w:val="32"/>
        </w:rPr>
        <w:t>年，臺灣證券交易所股份有限公司。網址</w:t>
      </w:r>
      <w:hyperlink r:id="rId13" w:history="1">
        <w:r w:rsidRPr="00492AEE">
          <w:rPr>
            <w:rFonts w:ascii="Times New Roman" w:hAnsi="Times New Roman" w:cs="Times New Roman"/>
            <w:sz w:val="32"/>
            <w:szCs w:val="32"/>
            <w:u w:val="single"/>
          </w:rPr>
          <w:t>http://www.ardf.org.tw/34/1223.pdf</w:t>
        </w:r>
      </w:hyperlink>
      <w:r w:rsidRPr="00492AEE">
        <w:rPr>
          <w:rFonts w:hint="eastAsia"/>
          <w:sz w:val="32"/>
          <w:szCs w:val="32"/>
        </w:rPr>
        <w:t>。</w:t>
      </w:r>
    </w:p>
    <w:p w:rsidR="00853DC3" w:rsidRPr="0025664C" w:rsidRDefault="00853DC3" w:rsidP="002F10EF">
      <w:pPr>
        <w:pStyle w:val="a7"/>
        <w:numPr>
          <w:ilvl w:val="0"/>
          <w:numId w:val="1"/>
        </w:numPr>
        <w:ind w:leftChars="0" w:left="709" w:hanging="709"/>
        <w:rPr>
          <w:rFonts w:ascii="標楷體" w:eastAsia="標楷體" w:hAnsi="標楷體"/>
          <w:b/>
          <w:sz w:val="32"/>
          <w:szCs w:val="32"/>
        </w:rPr>
      </w:pPr>
      <w:r w:rsidRPr="0025664C">
        <w:rPr>
          <w:rFonts w:ascii="標楷體" w:eastAsia="標楷體" w:hAnsi="標楷體" w:hint="eastAsia"/>
          <w:b/>
          <w:sz w:val="32"/>
          <w:szCs w:val="32"/>
        </w:rPr>
        <w:t>其他</w:t>
      </w:r>
      <w:r w:rsidR="0025664C" w:rsidRPr="0025664C">
        <w:rPr>
          <w:rFonts w:ascii="標楷體" w:eastAsia="標楷體" w:hAnsi="標楷體" w:hint="eastAsia"/>
          <w:b/>
          <w:sz w:val="32"/>
          <w:szCs w:val="32"/>
        </w:rPr>
        <w:t>：宣導會講義及</w:t>
      </w:r>
      <w:proofErr w:type="spellStart"/>
      <w:r w:rsidR="0025664C" w:rsidRPr="0025664C">
        <w:rPr>
          <w:rFonts w:ascii="標楷體" w:eastAsia="標楷體" w:hAnsi="標楷體" w:hint="eastAsia"/>
          <w:b/>
          <w:sz w:val="32"/>
          <w:szCs w:val="32"/>
        </w:rPr>
        <w:t>Webpro</w:t>
      </w:r>
      <w:proofErr w:type="spellEnd"/>
      <w:r w:rsidR="0025664C" w:rsidRPr="0025664C">
        <w:rPr>
          <w:rFonts w:ascii="標楷體" w:eastAsia="標楷體" w:hAnsi="標楷體" w:hint="eastAsia"/>
          <w:b/>
          <w:sz w:val="32"/>
          <w:szCs w:val="32"/>
        </w:rPr>
        <w:t>影音連結</w:t>
      </w:r>
    </w:p>
    <w:p w:rsidR="00BE3F12" w:rsidRDefault="00BE3F12" w:rsidP="005C2763">
      <w:pPr>
        <w:pStyle w:val="a7"/>
        <w:spacing w:before="100" w:beforeAutospacing="1" w:after="100" w:afterAutospacing="1" w:line="400" w:lineRule="exact"/>
        <w:ind w:leftChars="0" w:left="709"/>
        <w:rPr>
          <w:rFonts w:ascii="標楷體" w:eastAsia="標楷體" w:hAnsi="標楷體"/>
          <w:sz w:val="32"/>
          <w:szCs w:val="32"/>
        </w:rPr>
      </w:pPr>
    </w:p>
    <w:p w:rsidR="008C6A4A" w:rsidRPr="00BD2CF2" w:rsidRDefault="008C6A4A" w:rsidP="008C6A4A">
      <w:pPr>
        <w:rPr>
          <w:rFonts w:ascii="標楷體" w:eastAsia="標楷體" w:hAnsi="標楷體"/>
          <w:sz w:val="32"/>
          <w:szCs w:val="32"/>
        </w:rPr>
      </w:pPr>
    </w:p>
    <w:sectPr w:rsidR="008C6A4A" w:rsidRPr="00BD2CF2" w:rsidSect="0083717F">
      <w:footerReference w:type="default" r:id="rId14"/>
      <w:pgSz w:w="11906" w:h="16838"/>
      <w:pgMar w:top="1440" w:right="1800" w:bottom="1440" w:left="1800" w:header="851" w:footer="58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0F" w:rsidRDefault="00F4310F" w:rsidP="00853DC3">
      <w:r>
        <w:separator/>
      </w:r>
    </w:p>
  </w:endnote>
  <w:endnote w:type="continuationSeparator" w:id="0">
    <w:p w:rsidR="00F4310F" w:rsidRDefault="00F4310F" w:rsidP="00853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7170"/>
      <w:docPartObj>
        <w:docPartGallery w:val="Page Numbers (Bottom of Page)"/>
        <w:docPartUnique/>
      </w:docPartObj>
    </w:sdtPr>
    <w:sdtEndPr>
      <w:rPr>
        <w:rFonts w:ascii="Times New Roman" w:hAnsi="Times New Roman" w:cs="Times New Roman"/>
        <w:sz w:val="24"/>
        <w:szCs w:val="24"/>
      </w:rPr>
    </w:sdtEndPr>
    <w:sdtContent>
      <w:p w:rsidR="0083717F" w:rsidRPr="0083717F" w:rsidRDefault="003129BA">
        <w:pPr>
          <w:pStyle w:val="a5"/>
          <w:jc w:val="center"/>
          <w:rPr>
            <w:rFonts w:ascii="Times New Roman" w:hAnsi="Times New Roman" w:cs="Times New Roman"/>
            <w:sz w:val="24"/>
            <w:szCs w:val="24"/>
          </w:rPr>
        </w:pPr>
        <w:r w:rsidRPr="0083717F">
          <w:rPr>
            <w:rFonts w:ascii="Times New Roman" w:hAnsi="Times New Roman" w:cs="Times New Roman"/>
            <w:sz w:val="24"/>
            <w:szCs w:val="24"/>
          </w:rPr>
          <w:fldChar w:fldCharType="begin"/>
        </w:r>
        <w:r w:rsidR="0083717F" w:rsidRPr="0083717F">
          <w:rPr>
            <w:rFonts w:ascii="Times New Roman" w:hAnsi="Times New Roman" w:cs="Times New Roman"/>
            <w:sz w:val="24"/>
            <w:szCs w:val="24"/>
          </w:rPr>
          <w:instrText xml:space="preserve"> PAGE   \* MERGEFORMAT </w:instrText>
        </w:r>
        <w:r w:rsidRPr="0083717F">
          <w:rPr>
            <w:rFonts w:ascii="Times New Roman" w:hAnsi="Times New Roman" w:cs="Times New Roman"/>
            <w:sz w:val="24"/>
            <w:szCs w:val="24"/>
          </w:rPr>
          <w:fldChar w:fldCharType="separate"/>
        </w:r>
        <w:r w:rsidR="002362F8" w:rsidRPr="002362F8">
          <w:rPr>
            <w:rFonts w:ascii="Times New Roman" w:hAnsi="Times New Roman" w:cs="Times New Roman"/>
            <w:noProof/>
            <w:sz w:val="24"/>
            <w:szCs w:val="24"/>
            <w:lang w:val="zh-TW"/>
          </w:rPr>
          <w:t>5</w:t>
        </w:r>
        <w:r w:rsidRPr="0083717F">
          <w:rPr>
            <w:rFonts w:ascii="Times New Roman" w:hAnsi="Times New Roman" w:cs="Times New Roman"/>
            <w:sz w:val="24"/>
            <w:szCs w:val="24"/>
          </w:rPr>
          <w:fldChar w:fldCharType="end"/>
        </w:r>
      </w:p>
    </w:sdtContent>
  </w:sdt>
  <w:p w:rsidR="0083717F" w:rsidRDefault="008371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0F" w:rsidRDefault="00F4310F" w:rsidP="00853DC3">
      <w:r>
        <w:separator/>
      </w:r>
    </w:p>
  </w:footnote>
  <w:footnote w:type="continuationSeparator" w:id="0">
    <w:p w:rsidR="00F4310F" w:rsidRDefault="00F4310F" w:rsidP="00853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4BA"/>
    <w:multiLevelType w:val="multilevel"/>
    <w:tmpl w:val="C9AAF3D8"/>
    <w:lvl w:ilvl="0">
      <w:start w:val="1"/>
      <w:numFmt w:val="decimal"/>
      <w:lvlText w:val="%1."/>
      <w:lvlJc w:val="left"/>
      <w:pPr>
        <w:ind w:left="1068" w:hanging="360"/>
      </w:pPr>
      <w:rPr>
        <w:rFonts w:hint="default"/>
      </w:rPr>
    </w:lvl>
    <w:lvl w:ilvl="1" w:tentative="1">
      <w:start w:val="1"/>
      <w:numFmt w:val="ideographTradition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1">
    <w:nsid w:val="0C4E3CB1"/>
    <w:multiLevelType w:val="hybridMultilevel"/>
    <w:tmpl w:val="8A38E8E6"/>
    <w:lvl w:ilvl="0" w:tplc="A7947BF2">
      <w:start w:val="1"/>
      <w:numFmt w:val="lowerLetter"/>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C77533D"/>
    <w:multiLevelType w:val="hybridMultilevel"/>
    <w:tmpl w:val="63308CAC"/>
    <w:lvl w:ilvl="0" w:tplc="007C12E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3902492"/>
    <w:multiLevelType w:val="multilevel"/>
    <w:tmpl w:val="C9AAF3D8"/>
    <w:lvl w:ilvl="0">
      <w:start w:val="1"/>
      <w:numFmt w:val="decimal"/>
      <w:lvlText w:val="%1."/>
      <w:lvlJc w:val="left"/>
      <w:pPr>
        <w:ind w:left="1068" w:hanging="360"/>
      </w:pPr>
      <w:rPr>
        <w:rFonts w:hint="default"/>
      </w:rPr>
    </w:lvl>
    <w:lvl w:ilvl="1" w:tentative="1">
      <w:start w:val="1"/>
      <w:numFmt w:val="ideographTradition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4">
    <w:nsid w:val="141520F6"/>
    <w:multiLevelType w:val="hybridMultilevel"/>
    <w:tmpl w:val="17C099A4"/>
    <w:lvl w:ilvl="0" w:tplc="6798965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16EF0405"/>
    <w:multiLevelType w:val="hybridMultilevel"/>
    <w:tmpl w:val="88C6A428"/>
    <w:lvl w:ilvl="0" w:tplc="04090001">
      <w:start w:val="1"/>
      <w:numFmt w:val="bullet"/>
      <w:lvlText w:val=""/>
      <w:lvlJc w:val="left"/>
      <w:pPr>
        <w:ind w:left="967" w:hanging="480"/>
      </w:pPr>
      <w:rPr>
        <w:rFonts w:ascii="Wingdings" w:hAnsi="Wingdings"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6">
    <w:nsid w:val="18B74BDF"/>
    <w:multiLevelType w:val="hybridMultilevel"/>
    <w:tmpl w:val="DCAC3BF4"/>
    <w:lvl w:ilvl="0" w:tplc="489CEC3C">
      <w:start w:val="1"/>
      <w:numFmt w:val="bullet"/>
      <w:lvlText w:val="•"/>
      <w:lvlJc w:val="left"/>
      <w:pPr>
        <w:tabs>
          <w:tab w:val="num" w:pos="720"/>
        </w:tabs>
        <w:ind w:left="720" w:hanging="360"/>
      </w:pPr>
      <w:rPr>
        <w:rFonts w:ascii="新細明體" w:hAnsi="新細明體" w:hint="default"/>
      </w:rPr>
    </w:lvl>
    <w:lvl w:ilvl="1" w:tplc="5482549C" w:tentative="1">
      <w:start w:val="1"/>
      <w:numFmt w:val="bullet"/>
      <w:lvlText w:val="•"/>
      <w:lvlJc w:val="left"/>
      <w:pPr>
        <w:tabs>
          <w:tab w:val="num" w:pos="1440"/>
        </w:tabs>
        <w:ind w:left="1440" w:hanging="360"/>
      </w:pPr>
      <w:rPr>
        <w:rFonts w:ascii="新細明體" w:hAnsi="新細明體" w:hint="default"/>
      </w:rPr>
    </w:lvl>
    <w:lvl w:ilvl="2" w:tplc="7DDE1D2A" w:tentative="1">
      <w:start w:val="1"/>
      <w:numFmt w:val="bullet"/>
      <w:lvlText w:val="•"/>
      <w:lvlJc w:val="left"/>
      <w:pPr>
        <w:tabs>
          <w:tab w:val="num" w:pos="2160"/>
        </w:tabs>
        <w:ind w:left="2160" w:hanging="360"/>
      </w:pPr>
      <w:rPr>
        <w:rFonts w:ascii="新細明體" w:hAnsi="新細明體" w:hint="default"/>
      </w:rPr>
    </w:lvl>
    <w:lvl w:ilvl="3" w:tplc="3DE292AC" w:tentative="1">
      <w:start w:val="1"/>
      <w:numFmt w:val="bullet"/>
      <w:lvlText w:val="•"/>
      <w:lvlJc w:val="left"/>
      <w:pPr>
        <w:tabs>
          <w:tab w:val="num" w:pos="2880"/>
        </w:tabs>
        <w:ind w:left="2880" w:hanging="360"/>
      </w:pPr>
      <w:rPr>
        <w:rFonts w:ascii="新細明體" w:hAnsi="新細明體" w:hint="default"/>
      </w:rPr>
    </w:lvl>
    <w:lvl w:ilvl="4" w:tplc="7026C5E2" w:tentative="1">
      <w:start w:val="1"/>
      <w:numFmt w:val="bullet"/>
      <w:lvlText w:val="•"/>
      <w:lvlJc w:val="left"/>
      <w:pPr>
        <w:tabs>
          <w:tab w:val="num" w:pos="3600"/>
        </w:tabs>
        <w:ind w:left="3600" w:hanging="360"/>
      </w:pPr>
      <w:rPr>
        <w:rFonts w:ascii="新細明體" w:hAnsi="新細明體" w:hint="default"/>
      </w:rPr>
    </w:lvl>
    <w:lvl w:ilvl="5" w:tplc="094E487A" w:tentative="1">
      <w:start w:val="1"/>
      <w:numFmt w:val="bullet"/>
      <w:lvlText w:val="•"/>
      <w:lvlJc w:val="left"/>
      <w:pPr>
        <w:tabs>
          <w:tab w:val="num" w:pos="4320"/>
        </w:tabs>
        <w:ind w:left="4320" w:hanging="360"/>
      </w:pPr>
      <w:rPr>
        <w:rFonts w:ascii="新細明體" w:hAnsi="新細明體" w:hint="default"/>
      </w:rPr>
    </w:lvl>
    <w:lvl w:ilvl="6" w:tplc="EBF6FA8C" w:tentative="1">
      <w:start w:val="1"/>
      <w:numFmt w:val="bullet"/>
      <w:lvlText w:val="•"/>
      <w:lvlJc w:val="left"/>
      <w:pPr>
        <w:tabs>
          <w:tab w:val="num" w:pos="5040"/>
        </w:tabs>
        <w:ind w:left="5040" w:hanging="360"/>
      </w:pPr>
      <w:rPr>
        <w:rFonts w:ascii="新細明體" w:hAnsi="新細明體" w:hint="default"/>
      </w:rPr>
    </w:lvl>
    <w:lvl w:ilvl="7" w:tplc="69F0981C" w:tentative="1">
      <w:start w:val="1"/>
      <w:numFmt w:val="bullet"/>
      <w:lvlText w:val="•"/>
      <w:lvlJc w:val="left"/>
      <w:pPr>
        <w:tabs>
          <w:tab w:val="num" w:pos="5760"/>
        </w:tabs>
        <w:ind w:left="5760" w:hanging="360"/>
      </w:pPr>
      <w:rPr>
        <w:rFonts w:ascii="新細明體" w:hAnsi="新細明體" w:hint="default"/>
      </w:rPr>
    </w:lvl>
    <w:lvl w:ilvl="8" w:tplc="FC305930" w:tentative="1">
      <w:start w:val="1"/>
      <w:numFmt w:val="bullet"/>
      <w:lvlText w:val="•"/>
      <w:lvlJc w:val="left"/>
      <w:pPr>
        <w:tabs>
          <w:tab w:val="num" w:pos="6480"/>
        </w:tabs>
        <w:ind w:left="6480" w:hanging="360"/>
      </w:pPr>
      <w:rPr>
        <w:rFonts w:ascii="新細明體" w:hAnsi="新細明體" w:hint="default"/>
      </w:rPr>
    </w:lvl>
  </w:abstractNum>
  <w:abstractNum w:abstractNumId="7">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8">
    <w:nsid w:val="2C2A7EDF"/>
    <w:multiLevelType w:val="hybridMultilevel"/>
    <w:tmpl w:val="59DA813E"/>
    <w:lvl w:ilvl="0" w:tplc="F99A1E00">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9">
    <w:nsid w:val="504646FC"/>
    <w:multiLevelType w:val="hybridMultilevel"/>
    <w:tmpl w:val="FE6E81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07E3E70"/>
    <w:multiLevelType w:val="hybridMultilevel"/>
    <w:tmpl w:val="FBCA246A"/>
    <w:lvl w:ilvl="0" w:tplc="81B2ED08">
      <w:start w:val="1"/>
      <w:numFmt w:val="bullet"/>
      <w:lvlText w:val="•"/>
      <w:lvlJc w:val="left"/>
      <w:pPr>
        <w:tabs>
          <w:tab w:val="num" w:pos="720"/>
        </w:tabs>
        <w:ind w:left="720" w:hanging="360"/>
      </w:pPr>
      <w:rPr>
        <w:rFonts w:ascii="新細明體" w:hAnsi="新細明體" w:hint="default"/>
      </w:rPr>
    </w:lvl>
    <w:lvl w:ilvl="1" w:tplc="0A862650" w:tentative="1">
      <w:start w:val="1"/>
      <w:numFmt w:val="bullet"/>
      <w:lvlText w:val="•"/>
      <w:lvlJc w:val="left"/>
      <w:pPr>
        <w:tabs>
          <w:tab w:val="num" w:pos="1440"/>
        </w:tabs>
        <w:ind w:left="1440" w:hanging="360"/>
      </w:pPr>
      <w:rPr>
        <w:rFonts w:ascii="新細明體" w:hAnsi="新細明體" w:hint="default"/>
      </w:rPr>
    </w:lvl>
    <w:lvl w:ilvl="2" w:tplc="4FEED5A4" w:tentative="1">
      <w:start w:val="1"/>
      <w:numFmt w:val="bullet"/>
      <w:lvlText w:val="•"/>
      <w:lvlJc w:val="left"/>
      <w:pPr>
        <w:tabs>
          <w:tab w:val="num" w:pos="2160"/>
        </w:tabs>
        <w:ind w:left="2160" w:hanging="360"/>
      </w:pPr>
      <w:rPr>
        <w:rFonts w:ascii="新細明體" w:hAnsi="新細明體" w:hint="default"/>
      </w:rPr>
    </w:lvl>
    <w:lvl w:ilvl="3" w:tplc="9F0407BA" w:tentative="1">
      <w:start w:val="1"/>
      <w:numFmt w:val="bullet"/>
      <w:lvlText w:val="•"/>
      <w:lvlJc w:val="left"/>
      <w:pPr>
        <w:tabs>
          <w:tab w:val="num" w:pos="2880"/>
        </w:tabs>
        <w:ind w:left="2880" w:hanging="360"/>
      </w:pPr>
      <w:rPr>
        <w:rFonts w:ascii="新細明體" w:hAnsi="新細明體" w:hint="default"/>
      </w:rPr>
    </w:lvl>
    <w:lvl w:ilvl="4" w:tplc="DE865030" w:tentative="1">
      <w:start w:val="1"/>
      <w:numFmt w:val="bullet"/>
      <w:lvlText w:val="•"/>
      <w:lvlJc w:val="left"/>
      <w:pPr>
        <w:tabs>
          <w:tab w:val="num" w:pos="3600"/>
        </w:tabs>
        <w:ind w:left="3600" w:hanging="360"/>
      </w:pPr>
      <w:rPr>
        <w:rFonts w:ascii="新細明體" w:hAnsi="新細明體" w:hint="default"/>
      </w:rPr>
    </w:lvl>
    <w:lvl w:ilvl="5" w:tplc="BB8EDE16" w:tentative="1">
      <w:start w:val="1"/>
      <w:numFmt w:val="bullet"/>
      <w:lvlText w:val="•"/>
      <w:lvlJc w:val="left"/>
      <w:pPr>
        <w:tabs>
          <w:tab w:val="num" w:pos="4320"/>
        </w:tabs>
        <w:ind w:left="4320" w:hanging="360"/>
      </w:pPr>
      <w:rPr>
        <w:rFonts w:ascii="新細明體" w:hAnsi="新細明體" w:hint="default"/>
      </w:rPr>
    </w:lvl>
    <w:lvl w:ilvl="6" w:tplc="8B90909E" w:tentative="1">
      <w:start w:val="1"/>
      <w:numFmt w:val="bullet"/>
      <w:lvlText w:val="•"/>
      <w:lvlJc w:val="left"/>
      <w:pPr>
        <w:tabs>
          <w:tab w:val="num" w:pos="5040"/>
        </w:tabs>
        <w:ind w:left="5040" w:hanging="360"/>
      </w:pPr>
      <w:rPr>
        <w:rFonts w:ascii="新細明體" w:hAnsi="新細明體" w:hint="default"/>
      </w:rPr>
    </w:lvl>
    <w:lvl w:ilvl="7" w:tplc="8AE03082" w:tentative="1">
      <w:start w:val="1"/>
      <w:numFmt w:val="bullet"/>
      <w:lvlText w:val="•"/>
      <w:lvlJc w:val="left"/>
      <w:pPr>
        <w:tabs>
          <w:tab w:val="num" w:pos="5760"/>
        </w:tabs>
        <w:ind w:left="5760" w:hanging="360"/>
      </w:pPr>
      <w:rPr>
        <w:rFonts w:ascii="新細明體" w:hAnsi="新細明體" w:hint="default"/>
      </w:rPr>
    </w:lvl>
    <w:lvl w:ilvl="8" w:tplc="765AC68C" w:tentative="1">
      <w:start w:val="1"/>
      <w:numFmt w:val="bullet"/>
      <w:lvlText w:val="•"/>
      <w:lvlJc w:val="left"/>
      <w:pPr>
        <w:tabs>
          <w:tab w:val="num" w:pos="6480"/>
        </w:tabs>
        <w:ind w:left="6480" w:hanging="360"/>
      </w:pPr>
      <w:rPr>
        <w:rFonts w:ascii="新細明體" w:hAnsi="新細明體" w:hint="default"/>
      </w:rPr>
    </w:lvl>
  </w:abstractNum>
  <w:abstractNum w:abstractNumId="11">
    <w:nsid w:val="5454594A"/>
    <w:multiLevelType w:val="hybridMultilevel"/>
    <w:tmpl w:val="C9AAF3D8"/>
    <w:lvl w:ilvl="0" w:tplc="55CE3CF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5FCE2155"/>
    <w:multiLevelType w:val="hybridMultilevel"/>
    <w:tmpl w:val="C87830FE"/>
    <w:lvl w:ilvl="0" w:tplc="E26E59FE">
      <w:start w:val="1"/>
      <w:numFmt w:val="bullet"/>
      <w:lvlText w:val="•"/>
      <w:lvlJc w:val="left"/>
      <w:pPr>
        <w:tabs>
          <w:tab w:val="num" w:pos="720"/>
        </w:tabs>
        <w:ind w:left="720" w:hanging="360"/>
      </w:pPr>
      <w:rPr>
        <w:rFonts w:ascii="新細明體" w:hAnsi="新細明體" w:hint="default"/>
      </w:rPr>
    </w:lvl>
    <w:lvl w:ilvl="1" w:tplc="CDCE0684" w:tentative="1">
      <w:start w:val="1"/>
      <w:numFmt w:val="bullet"/>
      <w:lvlText w:val="•"/>
      <w:lvlJc w:val="left"/>
      <w:pPr>
        <w:tabs>
          <w:tab w:val="num" w:pos="1440"/>
        </w:tabs>
        <w:ind w:left="1440" w:hanging="360"/>
      </w:pPr>
      <w:rPr>
        <w:rFonts w:ascii="新細明體" w:hAnsi="新細明體" w:hint="default"/>
      </w:rPr>
    </w:lvl>
    <w:lvl w:ilvl="2" w:tplc="46F45134" w:tentative="1">
      <w:start w:val="1"/>
      <w:numFmt w:val="bullet"/>
      <w:lvlText w:val="•"/>
      <w:lvlJc w:val="left"/>
      <w:pPr>
        <w:tabs>
          <w:tab w:val="num" w:pos="2160"/>
        </w:tabs>
        <w:ind w:left="2160" w:hanging="360"/>
      </w:pPr>
      <w:rPr>
        <w:rFonts w:ascii="新細明體" w:hAnsi="新細明體" w:hint="default"/>
      </w:rPr>
    </w:lvl>
    <w:lvl w:ilvl="3" w:tplc="B0C893B0" w:tentative="1">
      <w:start w:val="1"/>
      <w:numFmt w:val="bullet"/>
      <w:lvlText w:val="•"/>
      <w:lvlJc w:val="left"/>
      <w:pPr>
        <w:tabs>
          <w:tab w:val="num" w:pos="2880"/>
        </w:tabs>
        <w:ind w:left="2880" w:hanging="360"/>
      </w:pPr>
      <w:rPr>
        <w:rFonts w:ascii="新細明體" w:hAnsi="新細明體" w:hint="default"/>
      </w:rPr>
    </w:lvl>
    <w:lvl w:ilvl="4" w:tplc="6290CC84" w:tentative="1">
      <w:start w:val="1"/>
      <w:numFmt w:val="bullet"/>
      <w:lvlText w:val="•"/>
      <w:lvlJc w:val="left"/>
      <w:pPr>
        <w:tabs>
          <w:tab w:val="num" w:pos="3600"/>
        </w:tabs>
        <w:ind w:left="3600" w:hanging="360"/>
      </w:pPr>
      <w:rPr>
        <w:rFonts w:ascii="新細明體" w:hAnsi="新細明體" w:hint="default"/>
      </w:rPr>
    </w:lvl>
    <w:lvl w:ilvl="5" w:tplc="93CA1B02" w:tentative="1">
      <w:start w:val="1"/>
      <w:numFmt w:val="bullet"/>
      <w:lvlText w:val="•"/>
      <w:lvlJc w:val="left"/>
      <w:pPr>
        <w:tabs>
          <w:tab w:val="num" w:pos="4320"/>
        </w:tabs>
        <w:ind w:left="4320" w:hanging="360"/>
      </w:pPr>
      <w:rPr>
        <w:rFonts w:ascii="新細明體" w:hAnsi="新細明體" w:hint="default"/>
      </w:rPr>
    </w:lvl>
    <w:lvl w:ilvl="6" w:tplc="6590CF3E" w:tentative="1">
      <w:start w:val="1"/>
      <w:numFmt w:val="bullet"/>
      <w:lvlText w:val="•"/>
      <w:lvlJc w:val="left"/>
      <w:pPr>
        <w:tabs>
          <w:tab w:val="num" w:pos="5040"/>
        </w:tabs>
        <w:ind w:left="5040" w:hanging="360"/>
      </w:pPr>
      <w:rPr>
        <w:rFonts w:ascii="新細明體" w:hAnsi="新細明體" w:hint="default"/>
      </w:rPr>
    </w:lvl>
    <w:lvl w:ilvl="7" w:tplc="FF68CD1C" w:tentative="1">
      <w:start w:val="1"/>
      <w:numFmt w:val="bullet"/>
      <w:lvlText w:val="•"/>
      <w:lvlJc w:val="left"/>
      <w:pPr>
        <w:tabs>
          <w:tab w:val="num" w:pos="5760"/>
        </w:tabs>
        <w:ind w:left="5760" w:hanging="360"/>
      </w:pPr>
      <w:rPr>
        <w:rFonts w:ascii="新細明體" w:hAnsi="新細明體" w:hint="default"/>
      </w:rPr>
    </w:lvl>
    <w:lvl w:ilvl="8" w:tplc="3E60352A" w:tentative="1">
      <w:start w:val="1"/>
      <w:numFmt w:val="bullet"/>
      <w:lvlText w:val="•"/>
      <w:lvlJc w:val="left"/>
      <w:pPr>
        <w:tabs>
          <w:tab w:val="num" w:pos="6480"/>
        </w:tabs>
        <w:ind w:left="6480" w:hanging="360"/>
      </w:pPr>
      <w:rPr>
        <w:rFonts w:ascii="新細明體" w:hAnsi="新細明體" w:hint="default"/>
      </w:rPr>
    </w:lvl>
  </w:abstractNum>
  <w:abstractNum w:abstractNumId="13">
    <w:nsid w:val="63B157F0"/>
    <w:multiLevelType w:val="hybridMultilevel"/>
    <w:tmpl w:val="6BBA3012"/>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66547709"/>
    <w:multiLevelType w:val="hybridMultilevel"/>
    <w:tmpl w:val="DB329400"/>
    <w:lvl w:ilvl="0" w:tplc="33EA1164">
      <w:start w:val="1"/>
      <w:numFmt w:val="bullet"/>
      <w:lvlText w:val="•"/>
      <w:lvlJc w:val="left"/>
      <w:pPr>
        <w:tabs>
          <w:tab w:val="num" w:pos="720"/>
        </w:tabs>
        <w:ind w:left="720" w:hanging="360"/>
      </w:pPr>
      <w:rPr>
        <w:rFonts w:ascii="新細明體" w:hAnsi="新細明體" w:hint="default"/>
      </w:rPr>
    </w:lvl>
    <w:lvl w:ilvl="1" w:tplc="7160F77A" w:tentative="1">
      <w:start w:val="1"/>
      <w:numFmt w:val="bullet"/>
      <w:lvlText w:val="•"/>
      <w:lvlJc w:val="left"/>
      <w:pPr>
        <w:tabs>
          <w:tab w:val="num" w:pos="1440"/>
        </w:tabs>
        <w:ind w:left="1440" w:hanging="360"/>
      </w:pPr>
      <w:rPr>
        <w:rFonts w:ascii="新細明體" w:hAnsi="新細明體" w:hint="default"/>
      </w:rPr>
    </w:lvl>
    <w:lvl w:ilvl="2" w:tplc="A6360B86" w:tentative="1">
      <w:start w:val="1"/>
      <w:numFmt w:val="bullet"/>
      <w:lvlText w:val="•"/>
      <w:lvlJc w:val="left"/>
      <w:pPr>
        <w:tabs>
          <w:tab w:val="num" w:pos="2160"/>
        </w:tabs>
        <w:ind w:left="2160" w:hanging="360"/>
      </w:pPr>
      <w:rPr>
        <w:rFonts w:ascii="新細明體" w:hAnsi="新細明體" w:hint="default"/>
      </w:rPr>
    </w:lvl>
    <w:lvl w:ilvl="3" w:tplc="78D2ACDA" w:tentative="1">
      <w:start w:val="1"/>
      <w:numFmt w:val="bullet"/>
      <w:lvlText w:val="•"/>
      <w:lvlJc w:val="left"/>
      <w:pPr>
        <w:tabs>
          <w:tab w:val="num" w:pos="2880"/>
        </w:tabs>
        <w:ind w:left="2880" w:hanging="360"/>
      </w:pPr>
      <w:rPr>
        <w:rFonts w:ascii="新細明體" w:hAnsi="新細明體" w:hint="default"/>
      </w:rPr>
    </w:lvl>
    <w:lvl w:ilvl="4" w:tplc="BA82A9EC" w:tentative="1">
      <w:start w:val="1"/>
      <w:numFmt w:val="bullet"/>
      <w:lvlText w:val="•"/>
      <w:lvlJc w:val="left"/>
      <w:pPr>
        <w:tabs>
          <w:tab w:val="num" w:pos="3600"/>
        </w:tabs>
        <w:ind w:left="3600" w:hanging="360"/>
      </w:pPr>
      <w:rPr>
        <w:rFonts w:ascii="新細明體" w:hAnsi="新細明體" w:hint="default"/>
      </w:rPr>
    </w:lvl>
    <w:lvl w:ilvl="5" w:tplc="5EDA314C" w:tentative="1">
      <w:start w:val="1"/>
      <w:numFmt w:val="bullet"/>
      <w:lvlText w:val="•"/>
      <w:lvlJc w:val="left"/>
      <w:pPr>
        <w:tabs>
          <w:tab w:val="num" w:pos="4320"/>
        </w:tabs>
        <w:ind w:left="4320" w:hanging="360"/>
      </w:pPr>
      <w:rPr>
        <w:rFonts w:ascii="新細明體" w:hAnsi="新細明體" w:hint="default"/>
      </w:rPr>
    </w:lvl>
    <w:lvl w:ilvl="6" w:tplc="79983E0E" w:tentative="1">
      <w:start w:val="1"/>
      <w:numFmt w:val="bullet"/>
      <w:lvlText w:val="•"/>
      <w:lvlJc w:val="left"/>
      <w:pPr>
        <w:tabs>
          <w:tab w:val="num" w:pos="5040"/>
        </w:tabs>
        <w:ind w:left="5040" w:hanging="360"/>
      </w:pPr>
      <w:rPr>
        <w:rFonts w:ascii="新細明體" w:hAnsi="新細明體" w:hint="default"/>
      </w:rPr>
    </w:lvl>
    <w:lvl w:ilvl="7" w:tplc="FFA4D4F2" w:tentative="1">
      <w:start w:val="1"/>
      <w:numFmt w:val="bullet"/>
      <w:lvlText w:val="•"/>
      <w:lvlJc w:val="left"/>
      <w:pPr>
        <w:tabs>
          <w:tab w:val="num" w:pos="5760"/>
        </w:tabs>
        <w:ind w:left="5760" w:hanging="360"/>
      </w:pPr>
      <w:rPr>
        <w:rFonts w:ascii="新細明體" w:hAnsi="新細明體" w:hint="default"/>
      </w:rPr>
    </w:lvl>
    <w:lvl w:ilvl="8" w:tplc="E4540E2C" w:tentative="1">
      <w:start w:val="1"/>
      <w:numFmt w:val="bullet"/>
      <w:lvlText w:val="•"/>
      <w:lvlJc w:val="left"/>
      <w:pPr>
        <w:tabs>
          <w:tab w:val="num" w:pos="6480"/>
        </w:tabs>
        <w:ind w:left="6480" w:hanging="360"/>
      </w:pPr>
      <w:rPr>
        <w:rFonts w:ascii="新細明體" w:hAnsi="新細明體" w:hint="default"/>
      </w:rPr>
    </w:lvl>
  </w:abstractNum>
  <w:abstractNum w:abstractNumId="15">
    <w:nsid w:val="79FD4417"/>
    <w:multiLevelType w:val="hybridMultilevel"/>
    <w:tmpl w:val="B9DEF5AC"/>
    <w:lvl w:ilvl="0" w:tplc="DDD01844">
      <w:start w:val="1"/>
      <w:numFmt w:val="bullet"/>
      <w:lvlText w:val=""/>
      <w:lvlJc w:val="left"/>
      <w:pPr>
        <w:tabs>
          <w:tab w:val="num" w:pos="1780"/>
        </w:tabs>
        <w:ind w:left="1780" w:hanging="340"/>
      </w:pPr>
      <w:rPr>
        <w:rFonts w:ascii="Wingdings" w:hAnsi="Wingdings" w:hint="default"/>
        <w:color w:val="auto"/>
        <w:sz w:val="22"/>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num w:numId="1">
    <w:abstractNumId w:val="7"/>
  </w:num>
  <w:num w:numId="2">
    <w:abstractNumId w:val="8"/>
  </w:num>
  <w:num w:numId="3">
    <w:abstractNumId w:val="5"/>
  </w:num>
  <w:num w:numId="4">
    <w:abstractNumId w:val="1"/>
  </w:num>
  <w:num w:numId="5">
    <w:abstractNumId w:val="9"/>
  </w:num>
  <w:num w:numId="6">
    <w:abstractNumId w:val="11"/>
  </w:num>
  <w:num w:numId="7">
    <w:abstractNumId w:val="2"/>
  </w:num>
  <w:num w:numId="8">
    <w:abstractNumId w:val="0"/>
  </w:num>
  <w:num w:numId="9">
    <w:abstractNumId w:val="4"/>
  </w:num>
  <w:num w:numId="10">
    <w:abstractNumId w:val="10"/>
  </w:num>
  <w:num w:numId="11">
    <w:abstractNumId w:val="6"/>
  </w:num>
  <w:num w:numId="12">
    <w:abstractNumId w:val="12"/>
  </w:num>
  <w:num w:numId="13">
    <w:abstractNumId w:val="14"/>
  </w:num>
  <w:num w:numId="14">
    <w:abstractNumId w:val="1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DC3"/>
    <w:rsid w:val="00015012"/>
    <w:rsid w:val="000C67AE"/>
    <w:rsid w:val="001F5E0E"/>
    <w:rsid w:val="00204C50"/>
    <w:rsid w:val="002141F9"/>
    <w:rsid w:val="00220698"/>
    <w:rsid w:val="00227547"/>
    <w:rsid w:val="002362F8"/>
    <w:rsid w:val="0025664C"/>
    <w:rsid w:val="002574EC"/>
    <w:rsid w:val="002747F6"/>
    <w:rsid w:val="002B1404"/>
    <w:rsid w:val="002F10EF"/>
    <w:rsid w:val="003129BA"/>
    <w:rsid w:val="004533B5"/>
    <w:rsid w:val="0045506C"/>
    <w:rsid w:val="00492AEE"/>
    <w:rsid w:val="005862B5"/>
    <w:rsid w:val="005C2763"/>
    <w:rsid w:val="006049D2"/>
    <w:rsid w:val="00626FC6"/>
    <w:rsid w:val="00636487"/>
    <w:rsid w:val="00690213"/>
    <w:rsid w:val="007033BD"/>
    <w:rsid w:val="007159C9"/>
    <w:rsid w:val="00746DC0"/>
    <w:rsid w:val="007944B4"/>
    <w:rsid w:val="007961A0"/>
    <w:rsid w:val="007D6E9E"/>
    <w:rsid w:val="00832867"/>
    <w:rsid w:val="0083319A"/>
    <w:rsid w:val="0083717F"/>
    <w:rsid w:val="00853DC3"/>
    <w:rsid w:val="008B18FE"/>
    <w:rsid w:val="008C6A4A"/>
    <w:rsid w:val="008F4EFD"/>
    <w:rsid w:val="00962B29"/>
    <w:rsid w:val="009A5FB8"/>
    <w:rsid w:val="009C56CE"/>
    <w:rsid w:val="009C7A58"/>
    <w:rsid w:val="009D6F1A"/>
    <w:rsid w:val="00A275CA"/>
    <w:rsid w:val="00A41277"/>
    <w:rsid w:val="00A51154"/>
    <w:rsid w:val="00A754E8"/>
    <w:rsid w:val="00A9086A"/>
    <w:rsid w:val="00AA6078"/>
    <w:rsid w:val="00AB242A"/>
    <w:rsid w:val="00AD36B5"/>
    <w:rsid w:val="00AE098E"/>
    <w:rsid w:val="00AF1586"/>
    <w:rsid w:val="00B53BF3"/>
    <w:rsid w:val="00B62F43"/>
    <w:rsid w:val="00B67624"/>
    <w:rsid w:val="00BC0DD5"/>
    <w:rsid w:val="00BD2CF2"/>
    <w:rsid w:val="00BE3F12"/>
    <w:rsid w:val="00C15E0A"/>
    <w:rsid w:val="00C16F29"/>
    <w:rsid w:val="00C33BF5"/>
    <w:rsid w:val="00C36A1F"/>
    <w:rsid w:val="00CA0792"/>
    <w:rsid w:val="00CD4FE7"/>
    <w:rsid w:val="00CF4FCE"/>
    <w:rsid w:val="00DC38C7"/>
    <w:rsid w:val="00E50BE5"/>
    <w:rsid w:val="00E91C6E"/>
    <w:rsid w:val="00EA2915"/>
    <w:rsid w:val="00EB37AA"/>
    <w:rsid w:val="00EC32B9"/>
    <w:rsid w:val="00F03DEC"/>
    <w:rsid w:val="00F4310F"/>
    <w:rsid w:val="00F432F3"/>
    <w:rsid w:val="00F92224"/>
    <w:rsid w:val="00FD1E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semiHidden/>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 w:type="character" w:styleId="aa">
    <w:name w:val="Hyperlink"/>
    <w:basedOn w:val="a0"/>
    <w:uiPriority w:val="99"/>
    <w:unhideWhenUsed/>
    <w:rsid w:val="002F10EF"/>
    <w:rPr>
      <w:color w:val="0000FF"/>
      <w:u w:val="single"/>
    </w:rPr>
  </w:style>
  <w:style w:type="paragraph" w:styleId="ab">
    <w:name w:val="footnote text"/>
    <w:basedOn w:val="a"/>
    <w:link w:val="ac"/>
    <w:uiPriority w:val="99"/>
    <w:semiHidden/>
    <w:unhideWhenUsed/>
    <w:rsid w:val="002F10EF"/>
    <w:pPr>
      <w:snapToGrid w:val="0"/>
    </w:pPr>
    <w:rPr>
      <w:sz w:val="20"/>
      <w:szCs w:val="20"/>
    </w:rPr>
  </w:style>
  <w:style w:type="character" w:customStyle="1" w:styleId="ac">
    <w:name w:val="註腳文字 字元"/>
    <w:basedOn w:val="a0"/>
    <w:link w:val="ab"/>
    <w:uiPriority w:val="99"/>
    <w:semiHidden/>
    <w:rsid w:val="002F10EF"/>
    <w:rPr>
      <w:sz w:val="20"/>
      <w:szCs w:val="20"/>
    </w:rPr>
  </w:style>
  <w:style w:type="character" w:styleId="ad">
    <w:name w:val="footnote reference"/>
    <w:basedOn w:val="a0"/>
    <w:uiPriority w:val="99"/>
    <w:semiHidden/>
    <w:unhideWhenUsed/>
    <w:rsid w:val="002F10EF"/>
    <w:rPr>
      <w:vertAlign w:val="superscript"/>
    </w:rPr>
  </w:style>
  <w:style w:type="paragraph" w:styleId="ae">
    <w:name w:val="Note Heading"/>
    <w:basedOn w:val="a"/>
    <w:next w:val="a"/>
    <w:link w:val="af"/>
    <w:uiPriority w:val="99"/>
    <w:unhideWhenUsed/>
    <w:rsid w:val="008C6A4A"/>
    <w:pPr>
      <w:jc w:val="center"/>
    </w:pPr>
    <w:rPr>
      <w:rFonts w:ascii="標楷體" w:eastAsia="標楷體" w:hAnsi="標楷體"/>
      <w:sz w:val="32"/>
      <w:szCs w:val="32"/>
    </w:rPr>
  </w:style>
  <w:style w:type="character" w:customStyle="1" w:styleId="af">
    <w:name w:val="註釋標題 字元"/>
    <w:basedOn w:val="a0"/>
    <w:link w:val="ae"/>
    <w:uiPriority w:val="99"/>
    <w:rsid w:val="008C6A4A"/>
    <w:rPr>
      <w:rFonts w:ascii="標楷體" w:eastAsia="標楷體" w:hAnsi="標楷體"/>
      <w:sz w:val="32"/>
      <w:szCs w:val="32"/>
    </w:rPr>
  </w:style>
  <w:style w:type="paragraph" w:styleId="af0">
    <w:name w:val="Closing"/>
    <w:basedOn w:val="a"/>
    <w:link w:val="af1"/>
    <w:uiPriority w:val="99"/>
    <w:unhideWhenUsed/>
    <w:rsid w:val="008C6A4A"/>
    <w:pPr>
      <w:ind w:leftChars="1800" w:left="100"/>
    </w:pPr>
    <w:rPr>
      <w:rFonts w:ascii="標楷體" w:eastAsia="標楷體" w:hAnsi="標楷體"/>
      <w:sz w:val="32"/>
      <w:szCs w:val="32"/>
    </w:rPr>
  </w:style>
  <w:style w:type="character" w:customStyle="1" w:styleId="af1">
    <w:name w:val="結語 字元"/>
    <w:basedOn w:val="a0"/>
    <w:link w:val="af0"/>
    <w:uiPriority w:val="99"/>
    <w:rsid w:val="008C6A4A"/>
    <w:rPr>
      <w:rFonts w:ascii="標楷體" w:eastAsia="標楷體" w:hAnsi="標楷體"/>
      <w:sz w:val="32"/>
      <w:szCs w:val="32"/>
    </w:rPr>
  </w:style>
  <w:style w:type="character" w:styleId="af2">
    <w:name w:val="annotation reference"/>
    <w:basedOn w:val="a0"/>
    <w:uiPriority w:val="99"/>
    <w:semiHidden/>
    <w:unhideWhenUsed/>
    <w:rsid w:val="009A5FB8"/>
    <w:rPr>
      <w:sz w:val="18"/>
      <w:szCs w:val="18"/>
    </w:rPr>
  </w:style>
  <w:style w:type="paragraph" w:styleId="af3">
    <w:name w:val="annotation text"/>
    <w:basedOn w:val="a"/>
    <w:link w:val="af4"/>
    <w:uiPriority w:val="99"/>
    <w:semiHidden/>
    <w:unhideWhenUsed/>
    <w:rsid w:val="009A5FB8"/>
  </w:style>
  <w:style w:type="character" w:customStyle="1" w:styleId="af4">
    <w:name w:val="註解文字 字元"/>
    <w:basedOn w:val="a0"/>
    <w:link w:val="af3"/>
    <w:uiPriority w:val="99"/>
    <w:semiHidden/>
    <w:rsid w:val="009A5FB8"/>
  </w:style>
  <w:style w:type="paragraph" w:styleId="af5">
    <w:name w:val="annotation subject"/>
    <w:basedOn w:val="af3"/>
    <w:next w:val="af3"/>
    <w:link w:val="af6"/>
    <w:uiPriority w:val="99"/>
    <w:semiHidden/>
    <w:unhideWhenUsed/>
    <w:rsid w:val="009A5FB8"/>
    <w:rPr>
      <w:b/>
      <w:bCs/>
    </w:rPr>
  </w:style>
  <w:style w:type="character" w:customStyle="1" w:styleId="af6">
    <w:name w:val="註解主旨 字元"/>
    <w:basedOn w:val="af4"/>
    <w:link w:val="af5"/>
    <w:uiPriority w:val="99"/>
    <w:semiHidden/>
    <w:rsid w:val="009A5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semiHidden/>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 w:type="character" w:styleId="aa">
    <w:name w:val="Hyperlink"/>
    <w:basedOn w:val="a0"/>
    <w:uiPriority w:val="99"/>
    <w:unhideWhenUsed/>
    <w:rsid w:val="002F10EF"/>
    <w:rPr>
      <w:color w:val="0000FF"/>
      <w:u w:val="single"/>
    </w:rPr>
  </w:style>
  <w:style w:type="paragraph" w:styleId="ab">
    <w:name w:val="footnote text"/>
    <w:basedOn w:val="a"/>
    <w:link w:val="ac"/>
    <w:uiPriority w:val="99"/>
    <w:semiHidden/>
    <w:unhideWhenUsed/>
    <w:rsid w:val="002F10EF"/>
    <w:pPr>
      <w:snapToGrid w:val="0"/>
    </w:pPr>
    <w:rPr>
      <w:sz w:val="20"/>
      <w:szCs w:val="20"/>
    </w:rPr>
  </w:style>
  <w:style w:type="character" w:customStyle="1" w:styleId="ac">
    <w:name w:val="註腳文字 字元"/>
    <w:basedOn w:val="a0"/>
    <w:link w:val="ab"/>
    <w:uiPriority w:val="99"/>
    <w:semiHidden/>
    <w:rsid w:val="002F10EF"/>
    <w:rPr>
      <w:sz w:val="20"/>
      <w:szCs w:val="20"/>
    </w:rPr>
  </w:style>
  <w:style w:type="character" w:styleId="ad">
    <w:name w:val="footnote reference"/>
    <w:basedOn w:val="a0"/>
    <w:uiPriority w:val="99"/>
    <w:semiHidden/>
    <w:unhideWhenUsed/>
    <w:rsid w:val="002F10EF"/>
    <w:rPr>
      <w:vertAlign w:val="superscript"/>
    </w:rPr>
  </w:style>
  <w:style w:type="paragraph" w:styleId="ae">
    <w:name w:val="Note Heading"/>
    <w:basedOn w:val="a"/>
    <w:next w:val="a"/>
    <w:link w:val="af"/>
    <w:uiPriority w:val="99"/>
    <w:unhideWhenUsed/>
    <w:rsid w:val="008C6A4A"/>
    <w:pPr>
      <w:jc w:val="center"/>
    </w:pPr>
    <w:rPr>
      <w:rFonts w:ascii="標楷體" w:eastAsia="標楷體" w:hAnsi="標楷體"/>
      <w:sz w:val="32"/>
      <w:szCs w:val="32"/>
    </w:rPr>
  </w:style>
  <w:style w:type="character" w:customStyle="1" w:styleId="af">
    <w:name w:val="註釋標題 字元"/>
    <w:basedOn w:val="a0"/>
    <w:link w:val="ae"/>
    <w:uiPriority w:val="99"/>
    <w:rsid w:val="008C6A4A"/>
    <w:rPr>
      <w:rFonts w:ascii="標楷體" w:eastAsia="標楷體" w:hAnsi="標楷體"/>
      <w:sz w:val="32"/>
      <w:szCs w:val="32"/>
    </w:rPr>
  </w:style>
  <w:style w:type="paragraph" w:styleId="af0">
    <w:name w:val="Closing"/>
    <w:basedOn w:val="a"/>
    <w:link w:val="af1"/>
    <w:uiPriority w:val="99"/>
    <w:unhideWhenUsed/>
    <w:rsid w:val="008C6A4A"/>
    <w:pPr>
      <w:ind w:leftChars="1800" w:left="100"/>
    </w:pPr>
    <w:rPr>
      <w:rFonts w:ascii="標楷體" w:eastAsia="標楷體" w:hAnsi="標楷體"/>
      <w:sz w:val="32"/>
      <w:szCs w:val="32"/>
    </w:rPr>
  </w:style>
  <w:style w:type="character" w:customStyle="1" w:styleId="af1">
    <w:name w:val="結語 字元"/>
    <w:basedOn w:val="a0"/>
    <w:link w:val="af0"/>
    <w:uiPriority w:val="99"/>
    <w:rsid w:val="008C6A4A"/>
    <w:rPr>
      <w:rFonts w:ascii="標楷體" w:eastAsia="標楷體" w:hAnsi="標楷體"/>
      <w:sz w:val="32"/>
      <w:szCs w:val="32"/>
    </w:rPr>
  </w:style>
  <w:style w:type="character" w:styleId="af2">
    <w:name w:val="annotation reference"/>
    <w:basedOn w:val="a0"/>
    <w:uiPriority w:val="99"/>
    <w:semiHidden/>
    <w:unhideWhenUsed/>
    <w:rsid w:val="009A5FB8"/>
    <w:rPr>
      <w:sz w:val="18"/>
      <w:szCs w:val="18"/>
    </w:rPr>
  </w:style>
  <w:style w:type="paragraph" w:styleId="af3">
    <w:name w:val="annotation text"/>
    <w:basedOn w:val="a"/>
    <w:link w:val="af4"/>
    <w:uiPriority w:val="99"/>
    <w:semiHidden/>
    <w:unhideWhenUsed/>
    <w:rsid w:val="009A5FB8"/>
  </w:style>
  <w:style w:type="character" w:customStyle="1" w:styleId="af4">
    <w:name w:val="註解文字 字元"/>
    <w:basedOn w:val="a0"/>
    <w:link w:val="af3"/>
    <w:uiPriority w:val="99"/>
    <w:semiHidden/>
    <w:rsid w:val="009A5FB8"/>
  </w:style>
  <w:style w:type="paragraph" w:styleId="af5">
    <w:name w:val="annotation subject"/>
    <w:basedOn w:val="af3"/>
    <w:next w:val="af3"/>
    <w:link w:val="af6"/>
    <w:uiPriority w:val="99"/>
    <w:semiHidden/>
    <w:unhideWhenUsed/>
    <w:rsid w:val="009A5FB8"/>
    <w:rPr>
      <w:b/>
      <w:bCs/>
    </w:rPr>
  </w:style>
  <w:style w:type="character" w:customStyle="1" w:styleId="af6">
    <w:name w:val="註解主旨 字元"/>
    <w:basedOn w:val="af4"/>
    <w:link w:val="af5"/>
    <w:uiPriority w:val="99"/>
    <w:semiHidden/>
    <w:rsid w:val="009A5FB8"/>
    <w:rPr>
      <w:b/>
      <w:bCs/>
    </w:rPr>
  </w:style>
</w:styles>
</file>

<file path=word/webSettings.xml><?xml version="1.0" encoding="utf-8"?>
<w:webSettings xmlns:r="http://schemas.openxmlformats.org/officeDocument/2006/relationships" xmlns:w="http://schemas.openxmlformats.org/wordprocessingml/2006/main">
  <w:divs>
    <w:div w:id="218444787">
      <w:bodyDiv w:val="1"/>
      <w:marLeft w:val="0"/>
      <w:marRight w:val="0"/>
      <w:marTop w:val="0"/>
      <w:marBottom w:val="0"/>
      <w:divBdr>
        <w:top w:val="none" w:sz="0" w:space="0" w:color="auto"/>
        <w:left w:val="none" w:sz="0" w:space="0" w:color="auto"/>
        <w:bottom w:val="none" w:sz="0" w:space="0" w:color="auto"/>
        <w:right w:val="none" w:sz="0" w:space="0" w:color="auto"/>
      </w:divBdr>
      <w:divsChild>
        <w:div w:id="2082949152">
          <w:marLeft w:val="547"/>
          <w:marRight w:val="0"/>
          <w:marTop w:val="0"/>
          <w:marBottom w:val="0"/>
          <w:divBdr>
            <w:top w:val="none" w:sz="0" w:space="0" w:color="auto"/>
            <w:left w:val="none" w:sz="0" w:space="0" w:color="auto"/>
            <w:bottom w:val="none" w:sz="0" w:space="0" w:color="auto"/>
            <w:right w:val="none" w:sz="0" w:space="0" w:color="auto"/>
          </w:divBdr>
        </w:div>
      </w:divsChild>
    </w:div>
    <w:div w:id="241791753">
      <w:bodyDiv w:val="1"/>
      <w:marLeft w:val="0"/>
      <w:marRight w:val="0"/>
      <w:marTop w:val="0"/>
      <w:marBottom w:val="0"/>
      <w:divBdr>
        <w:top w:val="none" w:sz="0" w:space="0" w:color="auto"/>
        <w:left w:val="none" w:sz="0" w:space="0" w:color="auto"/>
        <w:bottom w:val="none" w:sz="0" w:space="0" w:color="auto"/>
        <w:right w:val="none" w:sz="0" w:space="0" w:color="auto"/>
      </w:divBdr>
      <w:divsChild>
        <w:div w:id="1978144016">
          <w:marLeft w:val="547"/>
          <w:marRight w:val="0"/>
          <w:marTop w:val="0"/>
          <w:marBottom w:val="0"/>
          <w:divBdr>
            <w:top w:val="none" w:sz="0" w:space="0" w:color="auto"/>
            <w:left w:val="none" w:sz="0" w:space="0" w:color="auto"/>
            <w:bottom w:val="none" w:sz="0" w:space="0" w:color="auto"/>
            <w:right w:val="none" w:sz="0" w:space="0" w:color="auto"/>
          </w:divBdr>
        </w:div>
      </w:divsChild>
    </w:div>
    <w:div w:id="292907516">
      <w:bodyDiv w:val="1"/>
      <w:marLeft w:val="0"/>
      <w:marRight w:val="0"/>
      <w:marTop w:val="0"/>
      <w:marBottom w:val="0"/>
      <w:divBdr>
        <w:top w:val="none" w:sz="0" w:space="0" w:color="auto"/>
        <w:left w:val="none" w:sz="0" w:space="0" w:color="auto"/>
        <w:bottom w:val="none" w:sz="0" w:space="0" w:color="auto"/>
        <w:right w:val="none" w:sz="0" w:space="0" w:color="auto"/>
      </w:divBdr>
      <w:divsChild>
        <w:div w:id="79834480">
          <w:marLeft w:val="547"/>
          <w:marRight w:val="0"/>
          <w:marTop w:val="0"/>
          <w:marBottom w:val="0"/>
          <w:divBdr>
            <w:top w:val="none" w:sz="0" w:space="0" w:color="auto"/>
            <w:left w:val="none" w:sz="0" w:space="0" w:color="auto"/>
            <w:bottom w:val="none" w:sz="0" w:space="0" w:color="auto"/>
            <w:right w:val="none" w:sz="0" w:space="0" w:color="auto"/>
          </w:divBdr>
        </w:div>
        <w:div w:id="994336997">
          <w:marLeft w:val="547"/>
          <w:marRight w:val="0"/>
          <w:marTop w:val="0"/>
          <w:marBottom w:val="0"/>
          <w:divBdr>
            <w:top w:val="none" w:sz="0" w:space="0" w:color="auto"/>
            <w:left w:val="none" w:sz="0" w:space="0" w:color="auto"/>
            <w:bottom w:val="none" w:sz="0" w:space="0" w:color="auto"/>
            <w:right w:val="none" w:sz="0" w:space="0" w:color="auto"/>
          </w:divBdr>
        </w:div>
        <w:div w:id="1663317016">
          <w:marLeft w:val="547"/>
          <w:marRight w:val="0"/>
          <w:marTop w:val="0"/>
          <w:marBottom w:val="0"/>
          <w:divBdr>
            <w:top w:val="none" w:sz="0" w:space="0" w:color="auto"/>
            <w:left w:val="none" w:sz="0" w:space="0" w:color="auto"/>
            <w:bottom w:val="none" w:sz="0" w:space="0" w:color="auto"/>
            <w:right w:val="none" w:sz="0" w:space="0" w:color="auto"/>
          </w:divBdr>
        </w:div>
      </w:divsChild>
    </w:div>
    <w:div w:id="2101020452">
      <w:bodyDiv w:val="1"/>
      <w:marLeft w:val="0"/>
      <w:marRight w:val="0"/>
      <w:marTop w:val="0"/>
      <w:marBottom w:val="0"/>
      <w:divBdr>
        <w:top w:val="none" w:sz="0" w:space="0" w:color="auto"/>
        <w:left w:val="none" w:sz="0" w:space="0" w:color="auto"/>
        <w:bottom w:val="none" w:sz="0" w:space="0" w:color="auto"/>
        <w:right w:val="none" w:sz="0" w:space="0" w:color="auto"/>
      </w:divBdr>
      <w:divsChild>
        <w:div w:id="1399788213">
          <w:marLeft w:val="547"/>
          <w:marRight w:val="0"/>
          <w:marTop w:val="0"/>
          <w:marBottom w:val="0"/>
          <w:divBdr>
            <w:top w:val="none" w:sz="0" w:space="0" w:color="auto"/>
            <w:left w:val="none" w:sz="0" w:space="0" w:color="auto"/>
            <w:bottom w:val="none" w:sz="0" w:space="0" w:color="auto"/>
            <w:right w:val="none" w:sz="0" w:space="0" w:color="auto"/>
          </w:divBdr>
        </w:div>
        <w:div w:id="664480850">
          <w:marLeft w:val="547"/>
          <w:marRight w:val="0"/>
          <w:marTop w:val="0"/>
          <w:marBottom w:val="0"/>
          <w:divBdr>
            <w:top w:val="none" w:sz="0" w:space="0" w:color="auto"/>
            <w:left w:val="none" w:sz="0" w:space="0" w:color="auto"/>
            <w:bottom w:val="none" w:sz="0" w:space="0" w:color="auto"/>
            <w:right w:val="none" w:sz="0" w:space="0" w:color="auto"/>
          </w:divBdr>
        </w:div>
        <w:div w:id="18337953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df.org.tw/34/12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se.com.tw/ch/listed/IFRS/doc/plandomestic/plandomestic01.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df.org.tw/34/122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se.com.tw/ch/listed/IFRS/doc/plandomestic/plandomestic0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CCCD-B7EE-43EA-8BA7-9AD03D97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757</Words>
  <Characters>4320</Characters>
  <Application>Microsoft Office Word</Application>
  <DocSecurity>0</DocSecurity>
  <Lines>36</Lines>
  <Paragraphs>10</Paragraphs>
  <ScaleCrop>false</ScaleCrop>
  <Company>KPMG</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7</cp:revision>
  <cp:lastPrinted>2014-06-05T02:46:00Z</cp:lastPrinted>
  <dcterms:created xsi:type="dcterms:W3CDTF">2014-06-05T05:35:00Z</dcterms:created>
  <dcterms:modified xsi:type="dcterms:W3CDTF">2014-06-09T08:51:00Z</dcterms:modified>
</cp:coreProperties>
</file>